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CC47F5" w14:textId="20F1ED14" w:rsidR="00AA3FAE" w:rsidRPr="0035034A" w:rsidRDefault="00AA3FAE" w:rsidP="00AA3FAE">
      <w:pPr>
        <w:tabs>
          <w:tab w:val="right" w:pos="9630"/>
        </w:tabs>
        <w:overflowPunct w:val="0"/>
        <w:autoSpaceDE w:val="0"/>
        <w:autoSpaceDN w:val="0"/>
        <w:adjustRightInd w:val="0"/>
        <w:textAlignment w:val="baseline"/>
        <w:rPr>
          <w:rFonts w:asciiTheme="minorEastAsia" w:hAnsiTheme="minorEastAsia" w:cs="Times New Roman"/>
          <w:b/>
          <w:bCs/>
          <w:kern w:val="0"/>
          <w:sz w:val="24"/>
          <w:szCs w:val="18"/>
          <w:lang w:val="en-GB"/>
        </w:rPr>
      </w:pPr>
      <w:r w:rsidRPr="00A26D85">
        <w:rPr>
          <w:rFonts w:ascii="Arial" w:eastAsia="Dotum" w:hAnsi="Arial" w:cs="Times New Roman"/>
          <w:b/>
          <w:bCs/>
          <w:noProof/>
          <w:kern w:val="0"/>
          <w:sz w:val="24"/>
          <w:szCs w:val="18"/>
          <w:lang w:val="en-GB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E99FEAE" wp14:editId="5EDFFAB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任意多边形: 形状 2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589F0B" id="任意多边形: 形状 2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A26D85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3GPP TSG-RAN WG3 Meeting #11</w:t>
      </w:r>
      <w:r w:rsidR="003C333E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7</w:t>
      </w:r>
      <w:r w:rsidR="000F0310">
        <w:rPr>
          <w:rFonts w:asciiTheme="minorEastAsia" w:hAnsiTheme="minorEastAsia" w:cs="Times New Roman" w:hint="eastAsia"/>
          <w:b/>
          <w:bCs/>
          <w:kern w:val="0"/>
          <w:sz w:val="24"/>
          <w:szCs w:val="18"/>
          <w:lang w:val="en-GB"/>
        </w:rPr>
        <w:t>bis</w:t>
      </w:r>
      <w:r w:rsidRPr="00A26D85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-e</w:t>
      </w:r>
      <w:r w:rsidRPr="00A26D85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ab/>
        <w:t>R3-</w:t>
      </w:r>
      <w:r w:rsidR="00B26539" w:rsidRPr="00B26539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22</w:t>
      </w:r>
      <w:r w:rsidR="00B67624" w:rsidRPr="00E96102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5488</w:t>
      </w:r>
    </w:p>
    <w:p w14:paraId="4BF14776" w14:textId="183F456D" w:rsidR="00AA3FAE" w:rsidRPr="00AA3FAE" w:rsidRDefault="00A26D85" w:rsidP="00AA3FAE">
      <w:pPr>
        <w:tabs>
          <w:tab w:val="right" w:pos="9630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宋体" w:hAnsi="Arial" w:cs="黑体"/>
          <w:b/>
          <w:bCs/>
          <w:kern w:val="0"/>
          <w:sz w:val="24"/>
          <w:lang w:val="en-GB"/>
        </w:rPr>
      </w:pPr>
      <w:r>
        <w:rPr>
          <w:rFonts w:ascii="Arial" w:eastAsia="宋体" w:hAnsi="Arial" w:cs="黑体"/>
          <w:b/>
          <w:bCs/>
          <w:noProof/>
          <w:kern w:val="0"/>
          <w:sz w:val="24"/>
        </w:rPr>
        <w:t>Online</w:t>
      </w:r>
      <w:r w:rsidR="00AA3FAE" w:rsidRPr="00A26D85">
        <w:rPr>
          <w:rFonts w:ascii="Arial" w:eastAsia="宋体" w:hAnsi="Arial" w:cs="黑体"/>
          <w:b/>
          <w:bCs/>
          <w:noProof/>
          <w:kern w:val="0"/>
          <w:sz w:val="24"/>
        </w:rPr>
        <w:t xml:space="preserve">, </w:t>
      </w:r>
      <w:r w:rsidR="003C333E">
        <w:rPr>
          <w:rFonts w:ascii="Arial" w:eastAsia="宋体" w:hAnsi="Arial" w:cs="黑体"/>
          <w:b/>
          <w:bCs/>
          <w:noProof/>
          <w:kern w:val="0"/>
          <w:sz w:val="24"/>
        </w:rPr>
        <w:t>1</w:t>
      </w:r>
      <w:r w:rsidR="00625E1E">
        <w:rPr>
          <w:rFonts w:ascii="Arial" w:eastAsia="宋体" w:hAnsi="Arial" w:cs="黑体"/>
          <w:b/>
          <w:bCs/>
          <w:noProof/>
          <w:kern w:val="0"/>
          <w:sz w:val="24"/>
        </w:rPr>
        <w:t>0</w:t>
      </w:r>
      <w:r w:rsidR="00571FC2">
        <w:rPr>
          <w:rFonts w:ascii="Arial" w:eastAsia="宋体" w:hAnsi="Arial" w:cs="黑体" w:hint="eastAsia"/>
          <w:b/>
          <w:bCs/>
          <w:noProof/>
          <w:kern w:val="0"/>
          <w:sz w:val="24"/>
          <w:vertAlign w:val="superscript"/>
        </w:rPr>
        <w:t>t</w:t>
      </w:r>
      <w:r w:rsidR="003C333E">
        <w:rPr>
          <w:rFonts w:ascii="Arial" w:eastAsia="宋体" w:hAnsi="Arial" w:cs="黑体"/>
          <w:b/>
          <w:bCs/>
          <w:noProof/>
          <w:kern w:val="0"/>
          <w:sz w:val="24"/>
          <w:vertAlign w:val="superscript"/>
        </w:rPr>
        <w:t>h</w:t>
      </w:r>
      <w:r w:rsidR="00384956">
        <w:rPr>
          <w:rFonts w:ascii="Arial" w:eastAsia="宋体" w:hAnsi="Arial" w:cs="黑体"/>
          <w:b/>
          <w:bCs/>
          <w:noProof/>
          <w:kern w:val="0"/>
          <w:sz w:val="24"/>
        </w:rPr>
        <w:t xml:space="preserve"> </w:t>
      </w:r>
      <w:r w:rsidR="00AA3FAE" w:rsidRPr="00A26D85">
        <w:rPr>
          <w:rFonts w:ascii="Arial" w:eastAsia="宋体" w:hAnsi="Arial" w:cs="黑体"/>
          <w:b/>
          <w:bCs/>
          <w:noProof/>
          <w:kern w:val="0"/>
          <w:sz w:val="24"/>
        </w:rPr>
        <w:t xml:space="preserve">– </w:t>
      </w:r>
      <w:r w:rsidR="00625E1E">
        <w:rPr>
          <w:rFonts w:ascii="Arial" w:eastAsia="宋体" w:hAnsi="Arial" w:cs="黑体"/>
          <w:b/>
          <w:bCs/>
          <w:noProof/>
          <w:kern w:val="0"/>
          <w:sz w:val="24"/>
        </w:rPr>
        <w:t>18</w:t>
      </w:r>
      <w:r w:rsidR="003C333E">
        <w:rPr>
          <w:rFonts w:ascii="Arial" w:eastAsia="宋体" w:hAnsi="Arial" w:cs="黑体"/>
          <w:b/>
          <w:bCs/>
          <w:noProof/>
          <w:kern w:val="0"/>
          <w:sz w:val="24"/>
          <w:vertAlign w:val="superscript"/>
        </w:rPr>
        <w:t>th</w:t>
      </w:r>
      <w:r w:rsidR="00AA3FAE" w:rsidRPr="00A26D85">
        <w:rPr>
          <w:rFonts w:ascii="Arial" w:eastAsia="宋体" w:hAnsi="Arial" w:cs="黑体"/>
          <w:b/>
          <w:bCs/>
          <w:noProof/>
          <w:kern w:val="0"/>
          <w:sz w:val="24"/>
        </w:rPr>
        <w:t xml:space="preserve"> </w:t>
      </w:r>
      <w:r w:rsidR="00625E1E">
        <w:rPr>
          <w:rFonts w:ascii="Arial" w:eastAsia="宋体" w:hAnsi="Arial" w:cs="黑体"/>
          <w:b/>
          <w:bCs/>
          <w:noProof/>
          <w:kern w:val="0"/>
          <w:sz w:val="24"/>
        </w:rPr>
        <w:t>Oct</w:t>
      </w:r>
      <w:r w:rsidR="00AA3FAE" w:rsidRPr="00A26D85">
        <w:rPr>
          <w:rFonts w:ascii="Arial" w:eastAsia="宋体" w:hAnsi="Arial" w:cs="黑体"/>
          <w:b/>
          <w:bCs/>
          <w:noProof/>
          <w:kern w:val="0"/>
          <w:sz w:val="24"/>
        </w:rPr>
        <w:t>, 202</w:t>
      </w:r>
      <w:r w:rsidR="0035034A">
        <w:rPr>
          <w:rFonts w:ascii="Arial" w:eastAsia="宋体" w:hAnsi="Arial" w:cs="黑体"/>
          <w:b/>
          <w:bCs/>
          <w:noProof/>
          <w:kern w:val="0"/>
          <w:sz w:val="24"/>
        </w:rPr>
        <w:t>2</w:t>
      </w:r>
      <w:r w:rsidR="00AA3FAE" w:rsidRPr="00AA3FAE">
        <w:rPr>
          <w:rFonts w:ascii="Arial" w:eastAsia="宋体" w:hAnsi="Arial" w:cs="黑体"/>
          <w:b/>
          <w:bCs/>
          <w:kern w:val="0"/>
          <w:sz w:val="24"/>
          <w:lang w:val="en-GB"/>
        </w:rPr>
        <w:tab/>
      </w:r>
      <w:r w:rsidR="00AA3FAE" w:rsidRPr="00AA3FAE">
        <w:rPr>
          <w:rFonts w:ascii="Arial" w:eastAsia="Dotum" w:hAnsi="Arial" w:cs="Times New Roman"/>
          <w:bCs/>
          <w:kern w:val="0"/>
          <w:sz w:val="24"/>
          <w:szCs w:val="18"/>
          <w:lang w:val="en-GB"/>
        </w:rPr>
        <w:tab/>
      </w:r>
      <w:r w:rsidR="00AA3FAE" w:rsidRPr="00AA3FAE">
        <w:rPr>
          <w:rFonts w:ascii="Arial" w:eastAsia="Dotum" w:hAnsi="Arial" w:cs="Times New Roman"/>
          <w:bCs/>
          <w:kern w:val="0"/>
          <w:sz w:val="24"/>
          <w:szCs w:val="18"/>
          <w:lang w:val="en-GB"/>
        </w:rPr>
        <w:tab/>
      </w:r>
    </w:p>
    <w:p w14:paraId="15C0A33D" w14:textId="7D9BD311" w:rsidR="00070D39" w:rsidRPr="007846F4" w:rsidRDefault="00070D39" w:rsidP="00070D39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Agenda Item: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  <w:t>13.</w:t>
      </w:r>
      <w:r w:rsidR="00625E1E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2</w:t>
      </w:r>
    </w:p>
    <w:p w14:paraId="3A7B9F35" w14:textId="5CEF1D87" w:rsidR="00AA3FAE" w:rsidRPr="007846F4" w:rsidRDefault="00AA3FAE" w:rsidP="00AA3FAE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Source: 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  <w:t>Lenovo</w:t>
      </w:r>
    </w:p>
    <w:p w14:paraId="18B7FED9" w14:textId="54B241E6" w:rsidR="00070D39" w:rsidRPr="007846F4" w:rsidRDefault="00070D39" w:rsidP="00070D39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ind w:left="3865" w:hangingChars="1750" w:hanging="3865"/>
        <w:textAlignment w:val="baseline"/>
        <w:rPr>
          <w:rFonts w:ascii="Arial" w:eastAsia="MS Mincho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Title: 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</w:r>
      <w:r w:rsidR="000F0310" w:rsidRPr="000F0310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Discussion on mobile IAB-node inter-donor topology adaptation</w:t>
      </w:r>
    </w:p>
    <w:p w14:paraId="586F74AD" w14:textId="77777777" w:rsidR="00AA3FAE" w:rsidRPr="007846F4" w:rsidRDefault="00AA3FAE" w:rsidP="00AA3FAE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Document for: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  <w:t>Discussion and decision</w:t>
      </w:r>
    </w:p>
    <w:p w14:paraId="46DBFDB8" w14:textId="1885E262" w:rsidR="00AA3FAE" w:rsidRPr="0032255E" w:rsidRDefault="00AA3FAE" w:rsidP="0032255E">
      <w:pPr>
        <w:pStyle w:val="ac"/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Dotum" w:hAnsi="Arial" w:cs="Times New Roman"/>
          <w:kern w:val="0"/>
          <w:sz w:val="36"/>
          <w:szCs w:val="36"/>
          <w:lang w:val="en-GB"/>
        </w:rPr>
      </w:pPr>
      <w:r w:rsidRPr="0032255E">
        <w:rPr>
          <w:rFonts w:ascii="Arial" w:eastAsia="Dotum" w:hAnsi="Arial" w:cs="Times New Roman"/>
          <w:kern w:val="0"/>
          <w:sz w:val="36"/>
          <w:szCs w:val="36"/>
          <w:lang w:val="en-GB"/>
        </w:rPr>
        <w:t>Introduction</w:t>
      </w:r>
      <w:bookmarkStart w:id="0" w:name="_Ref174151459"/>
      <w:bookmarkStart w:id="1" w:name="_Ref189809556"/>
    </w:p>
    <w:p w14:paraId="3C20A5A2" w14:textId="613865A4" w:rsidR="00FD491E" w:rsidRDefault="00AD498C" w:rsidP="0058675F">
      <w:pPr>
        <w:widowControl/>
        <w:overflowPunct w:val="0"/>
        <w:autoSpaceDE w:val="0"/>
        <w:autoSpaceDN w:val="0"/>
        <w:adjustRightInd w:val="0"/>
        <w:spacing w:after="24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>In RAN3 117-e meeting</w:t>
      </w:r>
      <w:r w:rsidR="00681E37">
        <w:rPr>
          <w:rFonts w:ascii="Times New Roman" w:eastAsia="宋体" w:hAnsi="Times New Roman" w:cs="Times New Roman"/>
          <w:kern w:val="0"/>
          <w:sz w:val="20"/>
          <w:szCs w:val="20"/>
        </w:rPr>
        <w:t xml:space="preserve"> [1]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, </w:t>
      </w:r>
      <w:r w:rsidR="002845AD" w:rsidRPr="002845AD">
        <w:rPr>
          <w:rFonts w:ascii="Times New Roman" w:eastAsia="宋体" w:hAnsi="Times New Roman" w:cs="Times New Roman"/>
          <w:kern w:val="0"/>
          <w:sz w:val="20"/>
          <w:szCs w:val="20"/>
        </w:rPr>
        <w:t>following agreements</w:t>
      </w:r>
      <w:r w:rsidR="002845AD">
        <w:rPr>
          <w:rFonts w:ascii="Times New Roman" w:eastAsia="宋体" w:hAnsi="Times New Roman" w:cs="Times New Roman"/>
          <w:kern w:val="0"/>
          <w:sz w:val="20"/>
          <w:szCs w:val="20"/>
        </w:rPr>
        <w:t xml:space="preserve"> and left issues</w:t>
      </w:r>
      <w:r w:rsidR="002845AD" w:rsidRPr="002845AD">
        <w:rPr>
          <w:rFonts w:ascii="Times New Roman" w:eastAsia="宋体" w:hAnsi="Times New Roman" w:cs="Times New Roman"/>
          <w:kern w:val="0"/>
          <w:sz w:val="20"/>
          <w:szCs w:val="20"/>
        </w:rPr>
        <w:t xml:space="preserve"> had been </w:t>
      </w:r>
      <w:r w:rsidR="002845AD">
        <w:rPr>
          <w:rFonts w:ascii="Times New Roman" w:eastAsia="宋体" w:hAnsi="Times New Roman" w:cs="Times New Roman"/>
          <w:kern w:val="0"/>
          <w:sz w:val="20"/>
          <w:szCs w:val="20"/>
        </w:rPr>
        <w:t>identified</w:t>
      </w:r>
      <w:r w:rsidR="002845AD" w:rsidRPr="002845AD">
        <w:rPr>
          <w:rFonts w:ascii="Times New Roman" w:eastAsia="宋体" w:hAnsi="Times New Roman" w:cs="Times New Roman"/>
          <w:kern w:val="0"/>
          <w:sz w:val="20"/>
          <w:szCs w:val="20"/>
        </w:rPr>
        <w:t xml:space="preserve"> for mobile IAB-node inter-donor topology adaptation.</w:t>
      </w:r>
      <w:r w:rsidR="002845AD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</w:p>
    <w:tbl>
      <w:tblPr>
        <w:tblW w:w="9704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04"/>
      </w:tblGrid>
      <w:tr w:rsidR="00FD491E" w14:paraId="6682D8EA" w14:textId="77777777" w:rsidTr="0058675F">
        <w:trPr>
          <w:trHeight w:val="4526"/>
        </w:trPr>
        <w:tc>
          <w:tcPr>
            <w:tcW w:w="9704" w:type="dxa"/>
          </w:tcPr>
          <w:p w14:paraId="6114612D" w14:textId="77777777" w:rsidR="00BB1FE7" w:rsidRPr="00AD498C" w:rsidRDefault="00BB1FE7" w:rsidP="00BB1FE7">
            <w:pPr>
              <w:ind w:left="144" w:hanging="144"/>
              <w:rPr>
                <w:rFonts w:ascii="Calibri" w:hAnsi="Calibri" w:cs="Calibri"/>
                <w:b/>
                <w:color w:val="008000"/>
                <w:szCs w:val="21"/>
                <w:lang w:eastAsia="en-US"/>
              </w:rPr>
            </w:pPr>
            <w:r w:rsidRPr="00AD498C">
              <w:rPr>
                <w:rFonts w:ascii="Calibri" w:hAnsi="Calibri" w:cs="Calibri"/>
                <w:b/>
                <w:color w:val="008000"/>
                <w:szCs w:val="21"/>
                <w:lang w:eastAsia="en-US"/>
              </w:rPr>
              <w:t xml:space="preserve">As already supported in Rel17, a mobile IAB-MT and </w:t>
            </w:r>
            <w:proofErr w:type="gramStart"/>
            <w:r w:rsidRPr="00AD498C">
              <w:rPr>
                <w:rFonts w:ascii="Calibri" w:hAnsi="Calibri" w:cs="Calibri"/>
                <w:b/>
                <w:color w:val="008000"/>
                <w:szCs w:val="21"/>
                <w:lang w:eastAsia="en-US"/>
              </w:rPr>
              <w:t>its</w:t>
            </w:r>
            <w:proofErr w:type="gramEnd"/>
            <w:r w:rsidRPr="00AD498C">
              <w:rPr>
                <w:rFonts w:ascii="Calibri" w:hAnsi="Calibri" w:cs="Calibri"/>
                <w:b/>
                <w:color w:val="008000"/>
                <w:szCs w:val="21"/>
                <w:lang w:eastAsia="en-US"/>
              </w:rPr>
              <w:t xml:space="preserve"> co-located mobile IAB-DU may be served by different donor CUs.</w:t>
            </w:r>
          </w:p>
          <w:p w14:paraId="65E0E272" w14:textId="77777777" w:rsidR="00BB1FE7" w:rsidRPr="00AD498C" w:rsidRDefault="00BB1FE7" w:rsidP="00BB1FE7">
            <w:pPr>
              <w:ind w:left="144" w:hanging="144"/>
              <w:rPr>
                <w:rFonts w:ascii="Calibri" w:hAnsi="Calibri" w:cs="Calibri"/>
                <w:b/>
                <w:color w:val="008000"/>
                <w:szCs w:val="21"/>
                <w:lang w:eastAsia="en-US"/>
              </w:rPr>
            </w:pPr>
            <w:r w:rsidRPr="00AD498C">
              <w:rPr>
                <w:rFonts w:ascii="Calibri" w:hAnsi="Calibri" w:cs="Calibri"/>
                <w:b/>
                <w:color w:val="008000"/>
                <w:szCs w:val="21"/>
                <w:lang w:eastAsia="en-US"/>
              </w:rPr>
              <w:t xml:space="preserve">The mobile IAB donor that the co-located IAB-DU connects to may remain unchanged after the IAB-MT HO. </w:t>
            </w:r>
          </w:p>
          <w:p w14:paraId="7F5C2D37" w14:textId="77777777" w:rsidR="00BB1FE7" w:rsidRPr="00AD498C" w:rsidRDefault="00BB1FE7" w:rsidP="00BB1FE7">
            <w:pPr>
              <w:ind w:left="144" w:hanging="144"/>
              <w:rPr>
                <w:rFonts w:ascii="Calibri" w:hAnsi="Calibri" w:cs="Calibri"/>
                <w:b/>
                <w:color w:val="008000"/>
                <w:szCs w:val="21"/>
                <w:lang w:eastAsia="en-US"/>
              </w:rPr>
            </w:pPr>
            <w:r w:rsidRPr="00AD498C">
              <w:rPr>
                <w:rFonts w:ascii="Calibri" w:hAnsi="Calibri" w:cs="Calibri"/>
                <w:b/>
                <w:color w:val="008000"/>
                <w:szCs w:val="21"/>
                <w:lang w:eastAsia="en-US"/>
              </w:rPr>
              <w:t>RAN3 to discuss whether a mobile IAB-DU can execute inter-donor migration, while the co-located mobile IAB-MT stays connected to the same donor before and after the mobile IAB-DU migration.</w:t>
            </w:r>
          </w:p>
          <w:p w14:paraId="0E3F9636" w14:textId="77777777" w:rsidR="00BB1FE7" w:rsidRPr="00AD498C" w:rsidRDefault="00BB1FE7" w:rsidP="00BB1FE7">
            <w:pPr>
              <w:ind w:left="144" w:hanging="144"/>
              <w:rPr>
                <w:rFonts w:ascii="Calibri" w:hAnsi="Calibri" w:cs="Calibri"/>
                <w:b/>
                <w:color w:val="008000"/>
                <w:szCs w:val="21"/>
                <w:lang w:eastAsia="en-US"/>
              </w:rPr>
            </w:pPr>
            <w:r w:rsidRPr="00AD498C">
              <w:rPr>
                <w:rFonts w:ascii="Calibri" w:hAnsi="Calibri" w:cs="Calibri"/>
                <w:b/>
                <w:color w:val="008000"/>
                <w:szCs w:val="21"/>
                <w:lang w:eastAsia="en-US"/>
              </w:rPr>
              <w:t>RAN3 to discuss whether a mobile IAB-DU can execute inter-donor migration, while the co-located mobile IAB-MT executes inter-donor migration.</w:t>
            </w:r>
          </w:p>
          <w:p w14:paraId="38725994" w14:textId="77777777" w:rsidR="00BB1FE7" w:rsidRPr="00AD498C" w:rsidRDefault="00BB1FE7" w:rsidP="00BB1FE7">
            <w:pPr>
              <w:ind w:left="144" w:hanging="144"/>
              <w:rPr>
                <w:rFonts w:ascii="Calibri" w:hAnsi="Calibri" w:cs="Calibri"/>
                <w:b/>
                <w:color w:val="008000"/>
                <w:szCs w:val="21"/>
                <w:lang w:eastAsia="en-US"/>
              </w:rPr>
            </w:pPr>
            <w:r w:rsidRPr="00AD498C">
              <w:rPr>
                <w:rFonts w:ascii="Calibri" w:hAnsi="Calibri" w:cs="Calibri"/>
                <w:b/>
                <w:color w:val="008000"/>
                <w:szCs w:val="21"/>
                <w:lang w:eastAsia="en-US"/>
              </w:rPr>
              <w:t xml:space="preserve">When IP connectivity between target IAB-donor DU and source IAB-donor CU is available, and when </w:t>
            </w:r>
            <w:proofErr w:type="spellStart"/>
            <w:r w:rsidRPr="00AD498C">
              <w:rPr>
                <w:rFonts w:ascii="Calibri" w:hAnsi="Calibri" w:cs="Calibri"/>
                <w:b/>
                <w:color w:val="008000"/>
                <w:szCs w:val="21"/>
                <w:lang w:eastAsia="en-US"/>
              </w:rPr>
              <w:t>Xn</w:t>
            </w:r>
            <w:proofErr w:type="spellEnd"/>
            <w:r w:rsidRPr="00AD498C">
              <w:rPr>
                <w:rFonts w:ascii="Calibri" w:hAnsi="Calibri" w:cs="Calibri"/>
                <w:b/>
                <w:color w:val="008000"/>
                <w:szCs w:val="21"/>
                <w:lang w:eastAsia="en-US"/>
              </w:rPr>
              <w:t xml:space="preserve"> connectivity between source and target donor CU is available, the Rel-17 partial migration is used as baseline for supporting the F1 transport migration and inter-donor routing when </w:t>
            </w:r>
            <w:proofErr w:type="gramStart"/>
            <w:r w:rsidRPr="00AD498C">
              <w:rPr>
                <w:rFonts w:ascii="Calibri" w:hAnsi="Calibri" w:cs="Calibri"/>
                <w:b/>
                <w:color w:val="008000"/>
                <w:szCs w:val="21"/>
                <w:lang w:eastAsia="en-US"/>
              </w:rPr>
              <w:t>an</w:t>
            </w:r>
            <w:proofErr w:type="gramEnd"/>
            <w:r w:rsidRPr="00AD498C">
              <w:rPr>
                <w:rFonts w:ascii="Calibri" w:hAnsi="Calibri" w:cs="Calibri"/>
                <w:b/>
                <w:color w:val="008000"/>
                <w:szCs w:val="21"/>
                <w:lang w:eastAsia="en-US"/>
              </w:rPr>
              <w:t xml:space="preserve"> mobile IAB-DU and its co-located mobile IAB-MT are connected to different donor CUs.</w:t>
            </w:r>
          </w:p>
          <w:p w14:paraId="15E352F1" w14:textId="77777777" w:rsidR="00BB1FE7" w:rsidRPr="00AD498C" w:rsidRDefault="00BB1FE7" w:rsidP="00BB1FE7">
            <w:pPr>
              <w:ind w:left="144" w:hanging="144"/>
              <w:rPr>
                <w:rFonts w:ascii="Calibri" w:hAnsi="Calibri" w:cs="Calibri"/>
                <w:b/>
                <w:color w:val="008000"/>
                <w:szCs w:val="21"/>
                <w:lang w:eastAsia="en-US"/>
              </w:rPr>
            </w:pPr>
            <w:r w:rsidRPr="00AD498C">
              <w:rPr>
                <w:rFonts w:ascii="Calibri" w:hAnsi="Calibri" w:cs="Calibri"/>
                <w:b/>
                <w:color w:val="008000"/>
                <w:szCs w:val="21"/>
                <w:lang w:eastAsia="en-US"/>
              </w:rPr>
              <w:t xml:space="preserve">The mobile IAB-node may perform multiple </w:t>
            </w:r>
            <w:bookmarkStart w:id="2" w:name="OLE_LINK3"/>
            <w:r w:rsidRPr="00AD498C">
              <w:rPr>
                <w:rFonts w:ascii="Calibri" w:hAnsi="Calibri" w:cs="Calibri"/>
                <w:b/>
                <w:color w:val="008000"/>
                <w:szCs w:val="21"/>
                <w:lang w:eastAsia="en-US"/>
              </w:rPr>
              <w:t>consecutive partial migrations</w:t>
            </w:r>
            <w:bookmarkEnd w:id="2"/>
            <w:r w:rsidRPr="00AD498C">
              <w:rPr>
                <w:rFonts w:ascii="Calibri" w:hAnsi="Calibri" w:cs="Calibri"/>
                <w:b/>
                <w:color w:val="008000"/>
                <w:szCs w:val="21"/>
                <w:lang w:eastAsia="en-US"/>
              </w:rPr>
              <w:t xml:space="preserve"> without inter-donor migration of its mobile IAB-DU. </w:t>
            </w:r>
          </w:p>
          <w:p w14:paraId="4CF1A8AA" w14:textId="77777777" w:rsidR="00BB1FE7" w:rsidRPr="00AD498C" w:rsidRDefault="00BB1FE7" w:rsidP="00BB1FE7">
            <w:pPr>
              <w:ind w:left="144" w:hanging="144"/>
              <w:rPr>
                <w:rFonts w:ascii="Calibri" w:hAnsi="Calibri" w:cs="Calibri"/>
                <w:b/>
                <w:color w:val="008000"/>
                <w:szCs w:val="21"/>
                <w:lang w:eastAsia="en-US"/>
              </w:rPr>
            </w:pPr>
            <w:r w:rsidRPr="00AD498C">
              <w:rPr>
                <w:rFonts w:ascii="Calibri" w:hAnsi="Calibri" w:cs="Calibri"/>
                <w:b/>
                <w:color w:val="008000"/>
                <w:szCs w:val="21"/>
                <w:lang w:eastAsia="en-US"/>
              </w:rPr>
              <w:t xml:space="preserve">RAN3 to discuss how inter-donor topology adaptation can be supported for mobile IAB in absence of </w:t>
            </w:r>
            <w:proofErr w:type="spellStart"/>
            <w:r w:rsidRPr="00AD498C">
              <w:rPr>
                <w:rFonts w:ascii="Calibri" w:hAnsi="Calibri" w:cs="Calibri"/>
                <w:b/>
                <w:color w:val="008000"/>
                <w:szCs w:val="21"/>
                <w:lang w:eastAsia="en-US"/>
              </w:rPr>
              <w:t>Xn</w:t>
            </w:r>
            <w:proofErr w:type="spellEnd"/>
            <w:r w:rsidRPr="00AD498C">
              <w:rPr>
                <w:rFonts w:ascii="Calibri" w:hAnsi="Calibri" w:cs="Calibri"/>
                <w:b/>
                <w:color w:val="008000"/>
                <w:szCs w:val="21"/>
                <w:lang w:eastAsia="en-US"/>
              </w:rPr>
              <w:t xml:space="preserve"> and/or inter-donor IP </w:t>
            </w:r>
            <w:proofErr w:type="spellStart"/>
            <w:r w:rsidRPr="00AD498C">
              <w:rPr>
                <w:rFonts w:ascii="Calibri" w:hAnsi="Calibri" w:cs="Calibri"/>
                <w:b/>
                <w:color w:val="008000"/>
                <w:szCs w:val="21"/>
                <w:lang w:eastAsia="en-US"/>
              </w:rPr>
              <w:t>routability</w:t>
            </w:r>
            <w:proofErr w:type="spellEnd"/>
            <w:r w:rsidRPr="00AD498C">
              <w:rPr>
                <w:rFonts w:ascii="Calibri" w:hAnsi="Calibri" w:cs="Calibri"/>
                <w:b/>
                <w:color w:val="008000"/>
                <w:szCs w:val="21"/>
                <w:lang w:eastAsia="en-US"/>
              </w:rPr>
              <w:t>.</w:t>
            </w:r>
          </w:p>
          <w:p w14:paraId="2454DBD9" w14:textId="69AFAD70" w:rsidR="00EF5733" w:rsidRPr="00BB1FE7" w:rsidRDefault="00BB1FE7" w:rsidP="00BB1FE7">
            <w:pPr>
              <w:ind w:left="144" w:hanging="144"/>
              <w:rPr>
                <w:rFonts w:ascii="Calibri" w:hAnsi="Calibri" w:cs="Calibri"/>
                <w:b/>
                <w:color w:val="0000FF"/>
                <w:sz w:val="18"/>
                <w:szCs w:val="18"/>
                <w:lang w:eastAsia="en-US"/>
              </w:rPr>
            </w:pPr>
            <w:r w:rsidRPr="00AD498C">
              <w:rPr>
                <w:rFonts w:ascii="Calibri" w:hAnsi="Calibri" w:cs="Calibri"/>
                <w:b/>
                <w:color w:val="0000FF"/>
                <w:szCs w:val="21"/>
                <w:lang w:eastAsia="en-US"/>
              </w:rPr>
              <w:t xml:space="preserve">RAN3 to discuss whether F1-C transport over NGAP should be supported for inter-donor topology adaptation for mobile IAB. Other use cases where </w:t>
            </w:r>
            <w:proofErr w:type="spellStart"/>
            <w:r w:rsidRPr="00AD498C">
              <w:rPr>
                <w:rFonts w:ascii="Calibri" w:hAnsi="Calibri" w:cs="Calibri"/>
                <w:b/>
                <w:color w:val="0000FF"/>
                <w:szCs w:val="21"/>
                <w:lang w:eastAsia="en-US"/>
              </w:rPr>
              <w:t>Xn</w:t>
            </w:r>
            <w:proofErr w:type="spellEnd"/>
            <w:r w:rsidRPr="00AD498C">
              <w:rPr>
                <w:rFonts w:ascii="Calibri" w:hAnsi="Calibri" w:cs="Calibri"/>
                <w:b/>
                <w:color w:val="0000FF"/>
                <w:szCs w:val="21"/>
                <w:lang w:eastAsia="en-US"/>
              </w:rPr>
              <w:t xml:space="preserve"> connectivity is not available may be discussed.</w:t>
            </w:r>
          </w:p>
        </w:tc>
      </w:tr>
    </w:tbl>
    <w:p w14:paraId="766404C1" w14:textId="7BA5782E" w:rsidR="00161A1A" w:rsidRDefault="00C31487" w:rsidP="003A4A2A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I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n this contribution,</w:t>
      </w:r>
      <w:r w:rsidR="00C1648E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C95C5C">
        <w:rPr>
          <w:rFonts w:ascii="Times New Roman" w:eastAsia="宋体" w:hAnsi="Times New Roman" w:cs="Times New Roman"/>
          <w:kern w:val="0"/>
          <w:sz w:val="20"/>
          <w:szCs w:val="20"/>
        </w:rPr>
        <w:t xml:space="preserve">we continue to discuss the </w:t>
      </w:r>
      <w:r w:rsidR="00B635F7">
        <w:rPr>
          <w:rFonts w:ascii="Times New Roman" w:eastAsia="宋体" w:hAnsi="Times New Roman" w:cs="Times New Roman"/>
          <w:kern w:val="0"/>
          <w:sz w:val="20"/>
          <w:szCs w:val="20"/>
        </w:rPr>
        <w:t xml:space="preserve">general principles of </w:t>
      </w:r>
      <w:r w:rsidR="00B635F7" w:rsidRPr="002845AD">
        <w:rPr>
          <w:rFonts w:ascii="Times New Roman" w:eastAsia="宋体" w:hAnsi="Times New Roman" w:cs="Times New Roman"/>
          <w:kern w:val="0"/>
          <w:sz w:val="20"/>
          <w:szCs w:val="20"/>
        </w:rPr>
        <w:t>mobile IAB-node i</w:t>
      </w:r>
      <w:bookmarkStart w:id="3" w:name="OLE_LINK5"/>
      <w:r w:rsidR="00B635F7" w:rsidRPr="002845AD">
        <w:rPr>
          <w:rFonts w:ascii="Times New Roman" w:eastAsia="宋体" w:hAnsi="Times New Roman" w:cs="Times New Roman"/>
          <w:kern w:val="0"/>
          <w:sz w:val="20"/>
          <w:szCs w:val="20"/>
        </w:rPr>
        <w:t>nter-donor topology adaptation</w:t>
      </w:r>
      <w:bookmarkEnd w:id="3"/>
      <w:r w:rsidR="00B635F7">
        <w:rPr>
          <w:rFonts w:ascii="Times New Roman" w:eastAsia="宋体" w:hAnsi="Times New Roman" w:cs="Times New Roman"/>
          <w:kern w:val="0"/>
          <w:sz w:val="20"/>
          <w:szCs w:val="20"/>
        </w:rPr>
        <w:t xml:space="preserve">, including </w:t>
      </w:r>
      <w:r w:rsidR="00B635F7" w:rsidRPr="00B635F7">
        <w:rPr>
          <w:rFonts w:ascii="Times New Roman" w:eastAsia="宋体" w:hAnsi="Times New Roman" w:cs="Times New Roman"/>
          <w:kern w:val="0"/>
          <w:sz w:val="20"/>
          <w:szCs w:val="20"/>
        </w:rPr>
        <w:t>independen</w:t>
      </w:r>
      <w:r w:rsidR="00B635F7">
        <w:rPr>
          <w:rFonts w:ascii="Times New Roman" w:eastAsia="宋体" w:hAnsi="Times New Roman" w:cs="Times New Roman"/>
          <w:kern w:val="0"/>
          <w:sz w:val="20"/>
          <w:szCs w:val="20"/>
        </w:rPr>
        <w:t xml:space="preserve">cy on mobile IAB-DU migration, </w:t>
      </w:r>
      <w:r w:rsidR="000A56DD">
        <w:rPr>
          <w:rFonts w:ascii="Times New Roman" w:eastAsia="宋体" w:hAnsi="Times New Roman" w:cs="Times New Roman"/>
          <w:kern w:val="0"/>
          <w:sz w:val="20"/>
          <w:szCs w:val="20"/>
        </w:rPr>
        <w:t>c</w:t>
      </w:r>
      <w:r w:rsidR="000A56DD" w:rsidRPr="000A56DD">
        <w:rPr>
          <w:rFonts w:ascii="Times New Roman" w:eastAsia="宋体" w:hAnsi="Times New Roman" w:cs="Times New Roman"/>
          <w:kern w:val="0"/>
          <w:sz w:val="20"/>
          <w:szCs w:val="20"/>
        </w:rPr>
        <w:t>onsecutive partial migrations</w:t>
      </w:r>
      <w:r w:rsidR="000A56DD">
        <w:rPr>
          <w:rFonts w:ascii="Times New Roman" w:eastAsia="宋体" w:hAnsi="Times New Roman" w:cs="Times New Roman"/>
          <w:kern w:val="0"/>
          <w:sz w:val="20"/>
          <w:szCs w:val="20"/>
        </w:rPr>
        <w:t xml:space="preserve">, </w:t>
      </w:r>
      <w:r w:rsidR="00B635F7" w:rsidRPr="00B635F7">
        <w:rPr>
          <w:rFonts w:ascii="Times New Roman" w:eastAsia="宋体" w:hAnsi="Times New Roman" w:cs="Times New Roman"/>
          <w:kern w:val="0"/>
          <w:sz w:val="20"/>
          <w:szCs w:val="20"/>
        </w:rPr>
        <w:t>inter-donor topology adaptation</w:t>
      </w:r>
      <w:r w:rsidR="00B635F7">
        <w:rPr>
          <w:rFonts w:ascii="Times New Roman" w:eastAsia="宋体" w:hAnsi="Times New Roman" w:cs="Times New Roman"/>
          <w:kern w:val="0"/>
          <w:sz w:val="20"/>
          <w:szCs w:val="20"/>
        </w:rPr>
        <w:t xml:space="preserve"> in absence of </w:t>
      </w:r>
      <w:proofErr w:type="spellStart"/>
      <w:r w:rsidR="00B635F7">
        <w:rPr>
          <w:rFonts w:ascii="Times New Roman" w:eastAsia="宋体" w:hAnsi="Times New Roman" w:cs="Times New Roman"/>
          <w:kern w:val="0"/>
          <w:sz w:val="20"/>
          <w:szCs w:val="20"/>
        </w:rPr>
        <w:t>Xn</w:t>
      </w:r>
      <w:proofErr w:type="spellEnd"/>
      <w:r w:rsidR="00B635F7">
        <w:rPr>
          <w:rFonts w:ascii="Times New Roman" w:eastAsia="宋体" w:hAnsi="Times New Roman" w:cs="Times New Roman"/>
          <w:kern w:val="0"/>
          <w:sz w:val="20"/>
          <w:szCs w:val="20"/>
        </w:rPr>
        <w:t xml:space="preserve"> and/or IP connection.</w:t>
      </w:r>
    </w:p>
    <w:p w14:paraId="47F0D14A" w14:textId="2EABFABC" w:rsidR="00AA3FAE" w:rsidRPr="0032255E" w:rsidRDefault="00AA3FAE" w:rsidP="0032255E">
      <w:pPr>
        <w:pStyle w:val="ac"/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36"/>
          <w:lang w:val="en-GB"/>
        </w:rPr>
      </w:pPr>
      <w:r w:rsidRPr="0032255E">
        <w:rPr>
          <w:rFonts w:ascii="Arial" w:eastAsia="宋体" w:hAnsi="Arial" w:cs="Times New Roman"/>
          <w:kern w:val="0"/>
          <w:sz w:val="36"/>
          <w:szCs w:val="36"/>
          <w:lang w:val="en-GB"/>
        </w:rPr>
        <w:t>Discussion</w:t>
      </w:r>
    </w:p>
    <w:p w14:paraId="1640ABBB" w14:textId="708D7E3E" w:rsidR="00C95C5C" w:rsidRPr="008D16AC" w:rsidRDefault="00EE3B28" w:rsidP="008D16AC">
      <w:pPr>
        <w:widowControl/>
        <w:overflowPunct w:val="0"/>
        <w:autoSpaceDE w:val="0"/>
        <w:autoSpaceDN w:val="0"/>
        <w:adjustRightInd w:val="0"/>
        <w:spacing w:beforeLines="100" w:before="24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</w:pPr>
      <w:r w:rsidRPr="008D16AC"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Independency on mobile IAB-DU migration</w:t>
      </w:r>
    </w:p>
    <w:p w14:paraId="20652AF4" w14:textId="78FE5EC2" w:rsidR="00811C41" w:rsidRDefault="00811C41" w:rsidP="0019499C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As defined </w:t>
      </w:r>
      <w:r w:rsidR="00D34C65">
        <w:rPr>
          <w:rFonts w:ascii="Times New Roman" w:eastAsia="宋体" w:hAnsi="Times New Roman" w:cs="Times New Roman" w:hint="eastAsia"/>
          <w:kern w:val="0"/>
          <w:sz w:val="20"/>
          <w:szCs w:val="20"/>
        </w:rPr>
        <w:t>in</w:t>
      </w:r>
      <w:r w:rsidR="00D34C65">
        <w:rPr>
          <w:rFonts w:ascii="Times New Roman" w:eastAsia="宋体" w:hAnsi="Times New Roman" w:cs="Times New Roman"/>
          <w:kern w:val="0"/>
          <w:sz w:val="20"/>
          <w:szCs w:val="20"/>
        </w:rPr>
        <w:t xml:space="preserve"> TS 38.300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, </w:t>
      </w:r>
      <w:r w:rsidR="00D34C65">
        <w:rPr>
          <w:rFonts w:ascii="Times New Roman" w:eastAsia="宋体" w:hAnsi="Times New Roman" w:cs="Times New Roman"/>
          <w:kern w:val="0"/>
          <w:sz w:val="20"/>
          <w:szCs w:val="20"/>
        </w:rPr>
        <w:t>inter-donor partial migration is what we said IAB-MT migration and means that m</w:t>
      </w:r>
      <w:r w:rsidRPr="00811C41">
        <w:rPr>
          <w:rFonts w:ascii="Times New Roman" w:eastAsia="宋体" w:hAnsi="Times New Roman" w:cs="Times New Roman"/>
          <w:kern w:val="0"/>
          <w:sz w:val="20"/>
          <w:szCs w:val="20"/>
        </w:rPr>
        <w:t>igration of an IAB-MT to a parent node underneath a different IAB-donor-CU while the collocated IAB-DU and descendant IAB-node(s), if any, are terminated at the initial IAB-donor-CU. The procedure renders the said IAB-node as a boundary IAB-node.</w:t>
      </w:r>
      <w:r w:rsidR="00D34C65">
        <w:rPr>
          <w:rFonts w:ascii="Times New Roman" w:eastAsia="宋体" w:hAnsi="Times New Roman" w:cs="Times New Roman"/>
          <w:kern w:val="0"/>
          <w:sz w:val="20"/>
          <w:szCs w:val="20"/>
        </w:rPr>
        <w:t xml:space="preserve"> In similar way, inter-donor IAB-DU migration means that migration of an IAB-DU and </w:t>
      </w:r>
      <w:proofErr w:type="gramStart"/>
      <w:r w:rsidR="00D34C65">
        <w:rPr>
          <w:rFonts w:ascii="Times New Roman" w:eastAsia="宋体" w:hAnsi="Times New Roman" w:cs="Times New Roman"/>
          <w:kern w:val="0"/>
          <w:sz w:val="20"/>
          <w:szCs w:val="20"/>
        </w:rPr>
        <w:t>its</w:t>
      </w:r>
      <w:proofErr w:type="gramEnd"/>
      <w:r w:rsidR="00D34C65">
        <w:rPr>
          <w:rFonts w:ascii="Times New Roman" w:eastAsia="宋体" w:hAnsi="Times New Roman" w:cs="Times New Roman"/>
          <w:kern w:val="0"/>
          <w:sz w:val="20"/>
          <w:szCs w:val="20"/>
        </w:rPr>
        <w:t xml:space="preserve"> served UEs to a different IAB-donor-CU while the collocated IAB-MT is terminated at the initial IAB-donor-CU</w:t>
      </w:r>
      <w:r w:rsidR="00735F80">
        <w:rPr>
          <w:rFonts w:ascii="Times New Roman" w:eastAsia="宋体" w:hAnsi="Times New Roman" w:cs="Times New Roman"/>
          <w:kern w:val="0"/>
          <w:sz w:val="20"/>
          <w:szCs w:val="20"/>
        </w:rPr>
        <w:t xml:space="preserve">. </w:t>
      </w:r>
    </w:p>
    <w:p w14:paraId="5186421E" w14:textId="5AFBD0F3" w:rsidR="009506D0" w:rsidRDefault="008F35E8" w:rsidP="0019499C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B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ased on the objectives in the WID [2] for mobile IAB, at least we need to define the procedure for </w:t>
      </w:r>
      <w:r w:rsidRPr="008F35E8">
        <w:rPr>
          <w:rFonts w:ascii="Times New Roman" w:eastAsia="宋体" w:hAnsi="Times New Roman" w:cs="Times New Roman"/>
          <w:kern w:val="0"/>
          <w:sz w:val="20"/>
          <w:szCs w:val="20"/>
        </w:rPr>
        <w:t>migration/topology adaptation to enable IAB-node mobility, including inter-donor migration of the entire mobile IAB-node (full migration)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. In other words, </w:t>
      </w:r>
      <w:r w:rsidR="00996CC0">
        <w:rPr>
          <w:rFonts w:ascii="Times New Roman" w:eastAsia="宋体" w:hAnsi="Times New Roman" w:cs="Times New Roman"/>
          <w:kern w:val="0"/>
          <w:sz w:val="20"/>
          <w:szCs w:val="20"/>
        </w:rPr>
        <w:t xml:space="preserve">mobile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IAB-DU migration should at least be supported accompanied with the</w:t>
      </w:r>
      <w:r w:rsidR="00996CC0">
        <w:rPr>
          <w:rFonts w:ascii="Times New Roman" w:eastAsia="宋体" w:hAnsi="Times New Roman" w:cs="Times New Roman"/>
          <w:kern w:val="0"/>
          <w:sz w:val="20"/>
          <w:szCs w:val="20"/>
        </w:rPr>
        <w:t xml:space="preserve"> mobile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IAB-MT </w:t>
      </w:r>
      <w:r w:rsidR="0086765A">
        <w:rPr>
          <w:rFonts w:ascii="Times New Roman" w:eastAsia="宋体" w:hAnsi="Times New Roman" w:cs="Times New Roman"/>
          <w:kern w:val="0"/>
          <w:sz w:val="20"/>
          <w:szCs w:val="20"/>
        </w:rPr>
        <w:t>migration for full migration.</w:t>
      </w:r>
    </w:p>
    <w:p w14:paraId="61E871D1" w14:textId="62DC086A" w:rsidR="0086765A" w:rsidRPr="004312F2" w:rsidRDefault="0086765A" w:rsidP="0086765A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4312F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Proposal 1: Mobile IAB</w:t>
      </w:r>
      <w:r w:rsidR="00F610C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-</w:t>
      </w:r>
      <w:r w:rsidRPr="004312F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node supports full migration, where a mobile IAB-DU can execute inter-donor migration </w:t>
      </w:r>
      <w:r w:rsidR="00F610C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accompanied with</w:t>
      </w:r>
      <w:r w:rsidRPr="004312F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inter-donor migration of </w:t>
      </w:r>
      <w:proofErr w:type="gramStart"/>
      <w:r w:rsidRPr="004312F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its</w:t>
      </w:r>
      <w:proofErr w:type="gramEnd"/>
      <w:r w:rsidRPr="004312F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co-located mobile IAB-MT.</w:t>
      </w:r>
    </w:p>
    <w:p w14:paraId="668C8195" w14:textId="179624CE" w:rsidR="009506D0" w:rsidRPr="0086765A" w:rsidRDefault="009F235E" w:rsidP="0019499C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lastRenderedPageBreak/>
        <w:t>In addition</w:t>
      </w:r>
      <w:r w:rsidR="0039391B">
        <w:rPr>
          <w:rFonts w:ascii="Times New Roman" w:eastAsia="宋体" w:hAnsi="Times New Roman" w:cs="Times New Roman"/>
          <w:kern w:val="0"/>
          <w:sz w:val="20"/>
          <w:szCs w:val="20"/>
        </w:rPr>
        <w:t xml:space="preserve">, if the target IAB-donor is a legacy IAB-donor not specific for mobile IAB-node, there is no strong motivation to only perform mobile IAB-DU migration while mobile IAB-MT still terminates to the source IAB-donor-CU.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Mobile IAB-node may firstly </w:t>
      </w:r>
      <w:r w:rsidRPr="009F235E">
        <w:rPr>
          <w:rFonts w:ascii="Times New Roman" w:eastAsia="宋体" w:hAnsi="Times New Roman" w:cs="Times New Roman"/>
          <w:kern w:val="0"/>
          <w:sz w:val="20"/>
          <w:szCs w:val="20"/>
        </w:rPr>
        <w:t xml:space="preserve">perform multiple consecutive partial migrations without inter-donor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IAB-DU </w:t>
      </w:r>
      <w:r w:rsidRPr="009F235E">
        <w:rPr>
          <w:rFonts w:ascii="Times New Roman" w:eastAsia="宋体" w:hAnsi="Times New Roman" w:cs="Times New Roman"/>
          <w:kern w:val="0"/>
          <w:sz w:val="20"/>
          <w:szCs w:val="20"/>
        </w:rPr>
        <w:t>migration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, and then IAB-MT and IAB-DU perform migration to a target IAB-donor-CU, if needed.</w:t>
      </w:r>
    </w:p>
    <w:p w14:paraId="0CA8C484" w14:textId="13C75050" w:rsidR="00230FBE" w:rsidRDefault="00283083" w:rsidP="0019499C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H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owever,</w:t>
      </w:r>
      <w:r w:rsidR="00230FBE">
        <w:rPr>
          <w:rFonts w:ascii="Times New Roman" w:eastAsia="宋体" w:hAnsi="Times New Roman" w:cs="Times New Roman"/>
          <w:kern w:val="0"/>
          <w:sz w:val="20"/>
          <w:szCs w:val="20"/>
        </w:rPr>
        <w:t xml:space="preserve"> if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230FBE" w:rsidRPr="00230FBE">
        <w:rPr>
          <w:rFonts w:ascii="Times New Roman" w:eastAsia="宋体" w:hAnsi="Times New Roman" w:cs="Times New Roman"/>
          <w:kern w:val="0"/>
          <w:sz w:val="20"/>
          <w:szCs w:val="20"/>
        </w:rPr>
        <w:t xml:space="preserve">introducing a mobile CU (m-CU) </w:t>
      </w:r>
      <w:r w:rsidR="00DB3341" w:rsidRPr="00DB3341">
        <w:rPr>
          <w:rFonts w:ascii="Times New Roman" w:eastAsia="宋体" w:hAnsi="Times New Roman" w:cs="Times New Roman"/>
          <w:kern w:val="0"/>
          <w:sz w:val="20"/>
          <w:szCs w:val="20"/>
        </w:rPr>
        <w:t>that is covering a much wider area</w:t>
      </w:r>
      <w:r w:rsidR="00DB3341">
        <w:rPr>
          <w:rFonts w:ascii="Times New Roman" w:eastAsia="宋体" w:hAnsi="Times New Roman" w:cs="Times New Roman"/>
          <w:kern w:val="0"/>
          <w:sz w:val="20"/>
          <w:szCs w:val="20"/>
        </w:rPr>
        <w:t xml:space="preserve"> and</w:t>
      </w:r>
      <w:r w:rsidR="00230FBE" w:rsidRPr="00230FBE">
        <w:rPr>
          <w:rFonts w:ascii="Times New Roman" w:eastAsia="宋体" w:hAnsi="Times New Roman" w:cs="Times New Roman"/>
          <w:kern w:val="0"/>
          <w:sz w:val="20"/>
          <w:szCs w:val="20"/>
        </w:rPr>
        <w:t xml:space="preserve"> acts as CU for</w:t>
      </w:r>
      <w:r w:rsidR="00230FBE">
        <w:rPr>
          <w:rFonts w:ascii="Times New Roman" w:eastAsia="宋体" w:hAnsi="Times New Roman" w:cs="Times New Roman"/>
          <w:kern w:val="0"/>
          <w:sz w:val="20"/>
          <w:szCs w:val="20"/>
        </w:rPr>
        <w:t xml:space="preserve"> mobile IAB-node as </w:t>
      </w:r>
      <w:r w:rsidR="00DB3341">
        <w:rPr>
          <w:rFonts w:ascii="Times New Roman" w:eastAsia="宋体" w:hAnsi="Times New Roman" w:cs="Times New Roman"/>
          <w:kern w:val="0"/>
          <w:sz w:val="20"/>
          <w:szCs w:val="20"/>
        </w:rPr>
        <w:t>specified in SA2 [</w:t>
      </w:r>
      <w:r w:rsidR="00CD2D10">
        <w:rPr>
          <w:rFonts w:ascii="Times New Roman" w:eastAsia="宋体" w:hAnsi="Times New Roman" w:cs="Times New Roman"/>
          <w:kern w:val="0"/>
          <w:sz w:val="20"/>
          <w:szCs w:val="20"/>
        </w:rPr>
        <w:t>3</w:t>
      </w:r>
      <w:r w:rsidR="00DB3341">
        <w:rPr>
          <w:rFonts w:ascii="Times New Roman" w:eastAsia="宋体" w:hAnsi="Times New Roman" w:cs="Times New Roman"/>
          <w:kern w:val="0"/>
          <w:sz w:val="20"/>
          <w:szCs w:val="20"/>
        </w:rPr>
        <w:t>], mobile IAB-MT may connect to IAB-donor-CU and partially migrate among different IAB-donor-CUs while the mobile IAB-DU maintain its F1 connection to the m-CU. In this case, inter-CU mobile IAB-DU migration will be performed between two m-CUs</w:t>
      </w:r>
      <w:r w:rsidR="00655FA7">
        <w:rPr>
          <w:rFonts w:ascii="Times New Roman" w:eastAsia="宋体" w:hAnsi="Times New Roman" w:cs="Times New Roman"/>
          <w:kern w:val="0"/>
          <w:sz w:val="20"/>
          <w:szCs w:val="20"/>
        </w:rPr>
        <w:t>,</w:t>
      </w:r>
      <w:r w:rsidR="00DB3341">
        <w:rPr>
          <w:rFonts w:ascii="Times New Roman" w:eastAsia="宋体" w:hAnsi="Times New Roman" w:cs="Times New Roman"/>
          <w:kern w:val="0"/>
          <w:sz w:val="20"/>
          <w:szCs w:val="20"/>
        </w:rPr>
        <w:t xml:space="preserve"> and it can be decouple</w:t>
      </w:r>
      <w:r w:rsidR="00655FA7">
        <w:rPr>
          <w:rFonts w:ascii="Times New Roman" w:eastAsia="宋体" w:hAnsi="Times New Roman" w:cs="Times New Roman"/>
          <w:kern w:val="0"/>
          <w:sz w:val="20"/>
          <w:szCs w:val="20"/>
        </w:rPr>
        <w:t>d</w:t>
      </w:r>
      <w:r w:rsidR="00DB3341">
        <w:rPr>
          <w:rFonts w:ascii="Times New Roman" w:eastAsia="宋体" w:hAnsi="Times New Roman" w:cs="Times New Roman"/>
          <w:kern w:val="0"/>
          <w:sz w:val="20"/>
          <w:szCs w:val="20"/>
        </w:rPr>
        <w:t xml:space="preserve"> with the inter-donor mobile IAB-MT migration among IAB-donor-CUs.</w:t>
      </w:r>
    </w:p>
    <w:p w14:paraId="40956630" w14:textId="44F95E2B" w:rsidR="0039391B" w:rsidRPr="004312F2" w:rsidRDefault="0039391B" w:rsidP="0039391B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4312F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Proposal 2: </w:t>
      </w:r>
      <w:r w:rsidR="00A9076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D</w:t>
      </w:r>
      <w:r w:rsidRPr="004312F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ecoupl</w:t>
      </w:r>
      <w:r w:rsidR="00A9076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ing</w:t>
      </w:r>
      <w:r w:rsidRPr="004312F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of </w:t>
      </w:r>
      <w:r w:rsidR="00A9076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inter-donor mobile IAB-</w:t>
      </w:r>
      <w:r w:rsidRPr="004312F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DU migration to </w:t>
      </w:r>
      <w:r w:rsidR="00A9076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mobile IAB-</w:t>
      </w:r>
      <w:r w:rsidRPr="004312F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MT migration shall be discussed </w:t>
      </w:r>
      <w:r w:rsidR="00A9076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until</w:t>
      </w:r>
      <w:r w:rsidRPr="004312F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RAN3 determines the architecture </w:t>
      </w:r>
      <w:r w:rsidR="00A9076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of mobile IAB-node </w:t>
      </w:r>
      <w:r w:rsidRPr="004312F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with/without m-CU.</w:t>
      </w:r>
    </w:p>
    <w:p w14:paraId="3A003999" w14:textId="5580F6FF" w:rsidR="00C95C5C" w:rsidRDefault="001156C0" w:rsidP="001156C0">
      <w:pPr>
        <w:widowControl/>
        <w:overflowPunct w:val="0"/>
        <w:autoSpaceDE w:val="0"/>
        <w:autoSpaceDN w:val="0"/>
        <w:adjustRightInd w:val="0"/>
        <w:spacing w:beforeLines="100" w:before="24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</w:pPr>
      <w:bookmarkStart w:id="4" w:name="OLE_LINK4"/>
      <w:r w:rsidRPr="001156C0"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Consecutive partial migrations</w:t>
      </w:r>
    </w:p>
    <w:bookmarkEnd w:id="4"/>
    <w:p w14:paraId="4F907CDD" w14:textId="25232A54" w:rsidR="00691EC3" w:rsidRDefault="00BE445A" w:rsidP="00BE445A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A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s shown in Figure 1, </w:t>
      </w:r>
      <w:bookmarkStart w:id="5" w:name="_Hlk110516327"/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mobile IAB-node1 firstly performs partial migration from IAB-donor-CU1 to IAB-donor-CU2.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A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fter partial migration, mobile IAB-MT1 is migrated to target IAB-donor-CU2 while mobile IAB-DU1 still retain its F1 interface with the source IAB-donor-CU1 via the BH links managed by IAB-donor-CU2. And then mobile IAB-MT1 performs migration from IAB-donor-CU2 to IAB-donor-CU3, </w:t>
      </w:r>
      <w:bookmarkEnd w:id="5"/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while mobile IAB-DU1 still retain its F1 interface with the IAB-donor-CU1, and </w:t>
      </w:r>
      <w:r w:rsidR="00801B97">
        <w:rPr>
          <w:rFonts w:ascii="Times New Roman" w:eastAsia="宋体" w:hAnsi="Times New Roman" w:cs="Times New Roman"/>
          <w:kern w:val="0"/>
          <w:sz w:val="20"/>
          <w:szCs w:val="20"/>
        </w:rPr>
        <w:t xml:space="preserve">the transmission path is migrated to the BH links managed by IAB-donor-CU3. </w:t>
      </w:r>
    </w:p>
    <w:p w14:paraId="19A11033" w14:textId="7A96FDD1" w:rsidR="00F94BD2" w:rsidRDefault="00B95EB6" w:rsidP="0019499C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object w:dxaOrig="12711" w:dyaOrig="4941" w14:anchorId="1E9F1B5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187.5pt" o:ole="">
            <v:imagedata r:id="rId7" o:title=""/>
          </v:shape>
          <o:OLEObject Type="Embed" ProgID="Visio.Drawing.15" ShapeID="_x0000_i1025" DrawAspect="Content" ObjectID="_1725862308" r:id="rId8"/>
        </w:object>
      </w:r>
    </w:p>
    <w:p w14:paraId="5D49A1C5" w14:textId="2262CA1E" w:rsidR="00B95EB6" w:rsidRPr="00FC36AD" w:rsidRDefault="00B95EB6" w:rsidP="00B95EB6">
      <w:pPr>
        <w:widowControl/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1C3355">
        <w:rPr>
          <w:rFonts w:ascii="Times New Roman" w:hAnsi="Times New Roman" w:cs="Times New Roman"/>
          <w:sz w:val="20"/>
          <w:szCs w:val="20"/>
        </w:rPr>
        <w:t xml:space="preserve">Figure </w:t>
      </w:r>
      <w:r>
        <w:rPr>
          <w:rFonts w:ascii="Times New Roman" w:hAnsi="Times New Roman" w:cs="Times New Roman"/>
          <w:sz w:val="20"/>
          <w:szCs w:val="20"/>
        </w:rPr>
        <w:t>1</w:t>
      </w:r>
      <w:r w:rsidRPr="001C3355">
        <w:rPr>
          <w:rFonts w:ascii="Times New Roman" w:hAnsi="Times New Roman" w:cs="Times New Roman"/>
          <w:sz w:val="20"/>
          <w:szCs w:val="20"/>
        </w:rPr>
        <w:t xml:space="preserve">. </w:t>
      </w:r>
      <w:r>
        <w:rPr>
          <w:rFonts w:ascii="Times New Roman" w:hAnsi="Times New Roman" w:cs="Times New Roman"/>
          <w:sz w:val="20"/>
          <w:szCs w:val="20"/>
        </w:rPr>
        <w:t>An e</w:t>
      </w:r>
      <w:r w:rsidRPr="001C3355">
        <w:rPr>
          <w:rFonts w:ascii="Times New Roman" w:hAnsi="Times New Roman" w:cs="Times New Roman"/>
          <w:sz w:val="20"/>
          <w:szCs w:val="20"/>
        </w:rPr>
        <w:t>xample</w:t>
      </w:r>
      <w:r>
        <w:rPr>
          <w:rFonts w:ascii="Times New Roman" w:hAnsi="Times New Roman" w:cs="Times New Roman"/>
          <w:sz w:val="20"/>
          <w:szCs w:val="20"/>
        </w:rPr>
        <w:t xml:space="preserve"> of consecutive partial migration for mobile IAB-node</w:t>
      </w:r>
    </w:p>
    <w:p w14:paraId="329110AA" w14:textId="1A3B8869" w:rsidR="00597B84" w:rsidRPr="00BE445A" w:rsidRDefault="00597B84" w:rsidP="00597B84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I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n the assumption that there are 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0"/>
        </w:rPr>
        <w:t>Xn</w:t>
      </w:r>
      <w:proofErr w:type="spellEnd"/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and IP connections among IAB-donor-CUs, mobile IAB-MT1 can perform handover from IAB-donor-CU2 to IAB-donor-CU3 as legacy. And then IAB-donor-CU1 initiates an </w:t>
      </w:r>
      <w:r w:rsidRPr="00314155">
        <w:rPr>
          <w:rFonts w:ascii="Times New Roman" w:eastAsia="宋体" w:hAnsi="Times New Roman" w:cs="Times New Roman"/>
          <w:kern w:val="0"/>
          <w:sz w:val="20"/>
          <w:szCs w:val="20"/>
        </w:rPr>
        <w:t>IAB Transport Migration Management</w:t>
      </w:r>
      <w:r w:rsidR="00230EFC">
        <w:rPr>
          <w:rFonts w:ascii="Times New Roman" w:eastAsia="宋体" w:hAnsi="Times New Roman" w:cs="Times New Roman"/>
          <w:kern w:val="0"/>
          <w:sz w:val="20"/>
          <w:szCs w:val="20"/>
        </w:rPr>
        <w:t xml:space="preserve"> procedure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to IAB-donor-CU2 to release the </w:t>
      </w:r>
      <w:r w:rsidRPr="00597B84">
        <w:rPr>
          <w:rFonts w:ascii="Times New Roman" w:eastAsia="宋体" w:hAnsi="Times New Roman" w:cs="Times New Roman"/>
          <w:kern w:val="0"/>
          <w:sz w:val="20"/>
          <w:szCs w:val="20"/>
        </w:rPr>
        <w:t>resources under IAB-donor-CU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2</w:t>
      </w:r>
      <w:r w:rsidRPr="00597B84">
        <w:rPr>
          <w:rFonts w:ascii="Times New Roman" w:eastAsia="宋体" w:hAnsi="Times New Roman" w:cs="Times New Roman"/>
          <w:kern w:val="0"/>
          <w:sz w:val="20"/>
          <w:szCs w:val="20"/>
        </w:rPr>
        <w:t xml:space="preserve"> used for serving the offloaded traffic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and initiates an </w:t>
      </w:r>
      <w:r w:rsidRPr="00314155">
        <w:rPr>
          <w:rFonts w:ascii="Times New Roman" w:eastAsia="宋体" w:hAnsi="Times New Roman" w:cs="Times New Roman"/>
          <w:kern w:val="0"/>
          <w:sz w:val="20"/>
          <w:szCs w:val="20"/>
        </w:rPr>
        <w:t>IAB Transport Migration Management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230EFC">
        <w:rPr>
          <w:rFonts w:ascii="Times New Roman" w:eastAsia="宋体" w:hAnsi="Times New Roman" w:cs="Times New Roman"/>
          <w:kern w:val="0"/>
          <w:sz w:val="20"/>
          <w:szCs w:val="20"/>
        </w:rPr>
        <w:t xml:space="preserve">procedure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to IAB-donor-CU3 to set up the </w:t>
      </w:r>
      <w:r w:rsidRPr="00597B84">
        <w:rPr>
          <w:rFonts w:ascii="Times New Roman" w:eastAsia="宋体" w:hAnsi="Times New Roman" w:cs="Times New Roman"/>
          <w:kern w:val="0"/>
          <w:sz w:val="20"/>
          <w:szCs w:val="20"/>
        </w:rPr>
        <w:t>resources under IAB-donor-CU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3</w:t>
      </w:r>
      <w:r w:rsidRPr="00597B84">
        <w:rPr>
          <w:rFonts w:ascii="Times New Roman" w:eastAsia="宋体" w:hAnsi="Times New Roman" w:cs="Times New Roman"/>
          <w:kern w:val="0"/>
          <w:sz w:val="20"/>
          <w:szCs w:val="20"/>
        </w:rPr>
        <w:t xml:space="preserve"> used for serving the offloaded traffic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7321CDDB" w14:textId="7DBE66A0" w:rsidR="00F94BD2" w:rsidRPr="00230EFC" w:rsidRDefault="00DD63EA" w:rsidP="0019499C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230EFC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230EFC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3: </w:t>
      </w:r>
      <w:r w:rsidR="00230EFC" w:rsidRPr="00230EFC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Reuse the IAB Transport Migration Management procedure</w:t>
      </w:r>
      <w:r w:rsidR="00230EFC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, to release </w:t>
      </w:r>
      <w:r w:rsidR="00230EFC" w:rsidRPr="00230EFC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the resources under IAB-donor-CU2</w:t>
      </w:r>
      <w:r w:rsidR="00230EFC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and to set up t</w:t>
      </w:r>
      <w:r w:rsidR="00230EFC" w:rsidRPr="00230EFC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he resources under IAB-donor-CU</w:t>
      </w:r>
      <w:r w:rsidR="00230EFC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3 for </w:t>
      </w:r>
      <w:r w:rsidR="00230EFC" w:rsidRPr="00230EFC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offloaded traffic</w:t>
      </w:r>
      <w:r w:rsidR="00230EFC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,</w:t>
      </w:r>
      <w:r w:rsidR="00230EFC" w:rsidRPr="00230EFC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for consecutive partial migrations of mobile IAB-node.</w:t>
      </w:r>
    </w:p>
    <w:p w14:paraId="54E052D2" w14:textId="0C1A2ACD" w:rsidR="008D16AC" w:rsidRPr="00AC737C" w:rsidRDefault="00AC737C" w:rsidP="00AC737C">
      <w:pPr>
        <w:widowControl/>
        <w:overflowPunct w:val="0"/>
        <w:autoSpaceDE w:val="0"/>
        <w:autoSpaceDN w:val="0"/>
        <w:adjustRightInd w:val="0"/>
        <w:spacing w:beforeLines="100" w:before="24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</w:pPr>
      <w:r w:rsidRPr="00AC737C"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Absence of IP connection</w:t>
      </w:r>
    </w:p>
    <w:p w14:paraId="2F9DBEB8" w14:textId="5A6DDBA3" w:rsidR="00AC737C" w:rsidRDefault="0058072D" w:rsidP="0019499C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>Based on the IP connection between source IAB-donor-CU and target IAB-donor-DU, mobile IAB-node can support partial migration</w:t>
      </w:r>
      <w:r w:rsidR="00E06F23">
        <w:rPr>
          <w:rFonts w:ascii="Times New Roman" w:eastAsia="宋体" w:hAnsi="Times New Roman" w:cs="Times New Roman"/>
          <w:kern w:val="0"/>
          <w:sz w:val="20"/>
          <w:szCs w:val="20"/>
        </w:rPr>
        <w:t xml:space="preserve"> (IAB-MT migration only)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and F1 termination of mobile IAB-node can be transport via the target path. Or based on the IP connection between source IAB-donor-DU and target IAB-donor-CU, the second logical IAB-DU of mobile IAB-node may set up F1 connection to target IAB-donor-CU via the source path</w:t>
      </w:r>
      <w:r w:rsidR="00E06F23">
        <w:rPr>
          <w:rFonts w:ascii="Times New Roman" w:eastAsia="宋体" w:hAnsi="Times New Roman" w:cs="Times New Roman"/>
          <w:kern w:val="0"/>
          <w:sz w:val="20"/>
          <w:szCs w:val="20"/>
        </w:rPr>
        <w:t xml:space="preserve"> (IAB-DU migration only)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5741D88B" w14:textId="06B3A1D6" w:rsidR="00A5147F" w:rsidRDefault="00E06F23" w:rsidP="0019499C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H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owever, once there is no IP connection between source IAB-donor and target IAB-donor, mobile IAB-node will not support IAB-MT migration only and IAB-DU migration only.</w:t>
      </w:r>
      <w:r w:rsidR="00514D03">
        <w:rPr>
          <w:rFonts w:ascii="Times New Roman" w:eastAsia="宋体" w:hAnsi="Times New Roman" w:cs="Times New Roman"/>
          <w:kern w:val="0"/>
          <w:sz w:val="20"/>
          <w:szCs w:val="20"/>
        </w:rPr>
        <w:t xml:space="preserve"> And in this case, </w:t>
      </w:r>
      <w:r w:rsidR="00A16791">
        <w:rPr>
          <w:rFonts w:ascii="Times New Roman" w:eastAsia="宋体" w:hAnsi="Times New Roman" w:cs="Times New Roman"/>
          <w:kern w:val="0"/>
          <w:sz w:val="20"/>
          <w:szCs w:val="20"/>
        </w:rPr>
        <w:t>mobile IAB-node can only support full migration without intermediate stage where mobile IAB-MT and mobile IAB-DU terminate at different IAB-donors.</w:t>
      </w:r>
    </w:p>
    <w:p w14:paraId="345452DA" w14:textId="770CCFD4" w:rsidR="00A16791" w:rsidRDefault="00A16791" w:rsidP="0019499C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A16791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A16791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roposal 4: In absence of IP connection between IAB-donors, mobile IAB-node can only support full migration without intermediate stage where mobile IAB-MT and mobile IAB-DU terminate at different IAB-donors.</w:t>
      </w:r>
    </w:p>
    <w:p w14:paraId="418DED5B" w14:textId="77777777" w:rsidR="005E0ABB" w:rsidRPr="005E0ABB" w:rsidRDefault="005E0ABB" w:rsidP="0019499C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</w:p>
    <w:p w14:paraId="5F6CCE59" w14:textId="7E328323" w:rsidR="00BD5370" w:rsidRPr="00D74CDA" w:rsidRDefault="00D74CDA" w:rsidP="00D74CDA">
      <w:pPr>
        <w:widowControl/>
        <w:overflowPunct w:val="0"/>
        <w:autoSpaceDE w:val="0"/>
        <w:autoSpaceDN w:val="0"/>
        <w:adjustRightInd w:val="0"/>
        <w:spacing w:beforeLines="100" w:before="24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</w:pPr>
      <w:r w:rsidRPr="00D74CDA">
        <w:rPr>
          <w:rFonts w:ascii="Times New Roman" w:eastAsia="宋体" w:hAnsi="Times New Roman" w:cs="Times New Roman" w:hint="eastAsia"/>
          <w:b/>
          <w:bCs/>
          <w:kern w:val="0"/>
          <w:sz w:val="22"/>
          <w:u w:val="single"/>
        </w:rPr>
        <w:lastRenderedPageBreak/>
        <w:t>A</w:t>
      </w:r>
      <w:r w:rsidRPr="00D74CDA"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 xml:space="preserve">bsence of </w:t>
      </w:r>
      <w:proofErr w:type="spellStart"/>
      <w:r w:rsidRPr="00D74CDA"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Xn</w:t>
      </w:r>
      <w:proofErr w:type="spellEnd"/>
      <w:r w:rsidRPr="00D74CDA"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 xml:space="preserve"> connection</w:t>
      </w:r>
    </w:p>
    <w:p w14:paraId="4A48CB80" w14:textId="2076AE7E" w:rsidR="00BD5370" w:rsidRDefault="005D2529" w:rsidP="0019499C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I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n R17, the procedures for partial migration, e.g., </w:t>
      </w:r>
      <w:r w:rsidRPr="005D2529">
        <w:rPr>
          <w:rFonts w:ascii="Times New Roman" w:eastAsia="宋体" w:hAnsi="Times New Roman" w:cs="Times New Roman"/>
          <w:kern w:val="0"/>
          <w:sz w:val="20"/>
          <w:szCs w:val="20"/>
        </w:rPr>
        <w:t>IAB Transport Migration Management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and </w:t>
      </w:r>
      <w:r w:rsidRPr="005D2529">
        <w:rPr>
          <w:rFonts w:ascii="Times New Roman" w:eastAsia="宋体" w:hAnsi="Times New Roman" w:cs="Times New Roman"/>
          <w:kern w:val="0"/>
          <w:sz w:val="20"/>
          <w:szCs w:val="20"/>
        </w:rPr>
        <w:t>IAB Transport Migration Modification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, are only defined in 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0"/>
        </w:rPr>
        <w:t>XnAP</w:t>
      </w:r>
      <w:proofErr w:type="spellEnd"/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. For the stationary IAB-node in R17, partial migration procedures in 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0"/>
        </w:rPr>
        <w:t>XnAP</w:t>
      </w:r>
      <w:proofErr w:type="spellEnd"/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may be sufficient because stationary IAB-donor doesn’t support consecutive partial migrations and neighbor IAB-donors always have 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0"/>
        </w:rPr>
        <w:t>Xn</w:t>
      </w:r>
      <w:proofErr w:type="spellEnd"/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connection. However, mobile IAB-node needs to </w:t>
      </w:r>
      <w:r w:rsidR="007E4DDD">
        <w:rPr>
          <w:rFonts w:ascii="Times New Roman" w:eastAsia="宋体" w:hAnsi="Times New Roman" w:cs="Times New Roman"/>
          <w:kern w:val="0"/>
          <w:sz w:val="20"/>
          <w:szCs w:val="20"/>
        </w:rPr>
        <w:t>support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partial migration or full migration</w:t>
      </w:r>
      <w:r w:rsidR="007E4DDD">
        <w:rPr>
          <w:rFonts w:ascii="Times New Roman" w:eastAsia="宋体" w:hAnsi="Times New Roman" w:cs="Times New Roman"/>
          <w:kern w:val="0"/>
          <w:sz w:val="20"/>
          <w:szCs w:val="20"/>
        </w:rPr>
        <w:t xml:space="preserve"> from source IAB-donor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to a faraway</w:t>
      </w:r>
      <w:r w:rsidR="007E4DDD">
        <w:rPr>
          <w:rFonts w:ascii="Times New Roman" w:eastAsia="宋体" w:hAnsi="Times New Roman" w:cs="Times New Roman"/>
          <w:kern w:val="0"/>
          <w:sz w:val="20"/>
          <w:szCs w:val="20"/>
        </w:rPr>
        <w:t xml:space="preserve"> target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IAB-donor after previous </w:t>
      </w:r>
      <w:r w:rsidR="007E4DDD">
        <w:rPr>
          <w:rFonts w:ascii="Times New Roman" w:eastAsia="宋体" w:hAnsi="Times New Roman" w:cs="Times New Roman"/>
          <w:kern w:val="0"/>
          <w:sz w:val="20"/>
          <w:szCs w:val="20"/>
        </w:rPr>
        <w:t xml:space="preserve">multiple partial migrations. In this case, there is no </w:t>
      </w:r>
      <w:proofErr w:type="spellStart"/>
      <w:r w:rsidR="007E4DDD">
        <w:rPr>
          <w:rFonts w:ascii="Times New Roman" w:eastAsia="宋体" w:hAnsi="Times New Roman" w:cs="Times New Roman"/>
          <w:kern w:val="0"/>
          <w:sz w:val="20"/>
          <w:szCs w:val="20"/>
        </w:rPr>
        <w:t>Xn</w:t>
      </w:r>
      <w:proofErr w:type="spellEnd"/>
      <w:r w:rsidR="007E4DDD">
        <w:rPr>
          <w:rFonts w:ascii="Times New Roman" w:eastAsia="宋体" w:hAnsi="Times New Roman" w:cs="Times New Roman"/>
          <w:kern w:val="0"/>
          <w:sz w:val="20"/>
          <w:szCs w:val="20"/>
        </w:rPr>
        <w:t xml:space="preserve"> connection between source IAB-donor and target IAB-donor due to mobility of mobile IAB-node, the procedures defined for partial migration </w:t>
      </w:r>
      <w:r w:rsidR="006D5544">
        <w:rPr>
          <w:rFonts w:ascii="Times New Roman" w:eastAsia="宋体" w:hAnsi="Times New Roman" w:cs="Times New Roman"/>
          <w:kern w:val="0"/>
          <w:sz w:val="20"/>
          <w:szCs w:val="20"/>
        </w:rPr>
        <w:t>shall be extended to NGAP, and</w:t>
      </w:r>
      <w:r w:rsidR="006D5544" w:rsidRPr="006D5544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6D5544">
        <w:rPr>
          <w:rFonts w:ascii="Times New Roman" w:eastAsia="宋体" w:hAnsi="Times New Roman" w:cs="Times New Roman"/>
          <w:kern w:val="0"/>
          <w:sz w:val="20"/>
          <w:szCs w:val="20"/>
        </w:rPr>
        <w:t xml:space="preserve">the procedures expected for full migration or IAB-DU migration shall be defined in both </w:t>
      </w:r>
      <w:proofErr w:type="spellStart"/>
      <w:r w:rsidR="006D5544">
        <w:rPr>
          <w:rFonts w:ascii="Times New Roman" w:eastAsia="宋体" w:hAnsi="Times New Roman" w:cs="Times New Roman"/>
          <w:kern w:val="0"/>
          <w:sz w:val="20"/>
          <w:szCs w:val="20"/>
        </w:rPr>
        <w:t>XnAP</w:t>
      </w:r>
      <w:proofErr w:type="spellEnd"/>
      <w:r w:rsidR="006D5544">
        <w:rPr>
          <w:rFonts w:ascii="Times New Roman" w:eastAsia="宋体" w:hAnsi="Times New Roman" w:cs="Times New Roman"/>
          <w:kern w:val="0"/>
          <w:sz w:val="20"/>
          <w:szCs w:val="20"/>
        </w:rPr>
        <w:t xml:space="preserve"> and NGAP.</w:t>
      </w:r>
    </w:p>
    <w:p w14:paraId="1CEE50B4" w14:textId="4317F901" w:rsidR="001600FE" w:rsidRDefault="001600FE" w:rsidP="001600FE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4312F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Proposal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5</w:t>
      </w:r>
      <w:r w:rsidRPr="004312F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: </w:t>
      </w:r>
      <w:r w:rsidR="006D5544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I</w:t>
      </w:r>
      <w:r w:rsidRPr="004312F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n absence of </w:t>
      </w:r>
      <w:proofErr w:type="spellStart"/>
      <w:r w:rsidRPr="004312F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Xn</w:t>
      </w:r>
      <w:proofErr w:type="spellEnd"/>
      <w:r w:rsidRPr="004312F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connection between</w:t>
      </w:r>
      <w:r w:rsidR="006D5544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IAB-</w:t>
      </w:r>
      <w:r w:rsidRPr="004312F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donor</w:t>
      </w:r>
      <w:r w:rsidR="006D5544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s</w:t>
      </w:r>
      <w:r w:rsidRPr="004312F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, the </w:t>
      </w:r>
      <w:proofErr w:type="spellStart"/>
      <w:r w:rsidRPr="004312F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Xn</w:t>
      </w:r>
      <w:r w:rsidR="006D5544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AP</w:t>
      </w:r>
      <w:proofErr w:type="spellEnd"/>
      <w:r w:rsidR="006D5544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procedure </w:t>
      </w:r>
      <w:r w:rsidRPr="004312F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for partial migration shall be extended to NG interface.</w:t>
      </w:r>
    </w:p>
    <w:p w14:paraId="184E6E81" w14:textId="7009EBC8" w:rsidR="006D5544" w:rsidRPr="004312F2" w:rsidRDefault="006D5544" w:rsidP="001600FE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roposal 6: I</w:t>
      </w:r>
      <w:r w:rsidRPr="004312F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n absence of </w:t>
      </w:r>
      <w:proofErr w:type="spellStart"/>
      <w:r w:rsidRPr="004312F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Xn</w:t>
      </w:r>
      <w:proofErr w:type="spellEnd"/>
      <w:r w:rsidRPr="004312F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connection between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IAB-</w:t>
      </w:r>
      <w:r w:rsidRPr="004312F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donor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s</w:t>
      </w:r>
      <w:r w:rsidRPr="004312F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,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</w:t>
      </w:r>
      <w:r w:rsidRPr="006D5544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the procedures expected for full migration or IAB-DU migration shall be defined in both </w:t>
      </w:r>
      <w:proofErr w:type="spellStart"/>
      <w:r w:rsidRPr="006D5544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XnAP</w:t>
      </w:r>
      <w:proofErr w:type="spellEnd"/>
      <w:r w:rsidRPr="006D5544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and NGAP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.</w:t>
      </w:r>
    </w:p>
    <w:p w14:paraId="267A3D15" w14:textId="7BB08081" w:rsidR="00FB1CA8" w:rsidRPr="001600FE" w:rsidRDefault="00436CF5" w:rsidP="0019499C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I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n R16, F1-C over X2 interface was supported for the ENDC scenario. And in R17, F1-C over 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0"/>
        </w:rPr>
        <w:t>Xn</w:t>
      </w:r>
      <w:proofErr w:type="spellEnd"/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interface was also support for CP-UP split of NRDC. </w:t>
      </w:r>
      <w:r w:rsidR="006C1937">
        <w:rPr>
          <w:rFonts w:ascii="Times New Roman" w:eastAsia="宋体" w:hAnsi="Times New Roman" w:cs="Times New Roman"/>
          <w:kern w:val="0"/>
          <w:sz w:val="20"/>
          <w:szCs w:val="20"/>
        </w:rPr>
        <w:t xml:space="preserve">In absence of </w:t>
      </w:r>
      <w:proofErr w:type="spellStart"/>
      <w:r w:rsidR="006C1937">
        <w:rPr>
          <w:rFonts w:ascii="Times New Roman" w:eastAsia="宋体" w:hAnsi="Times New Roman" w:cs="Times New Roman"/>
          <w:kern w:val="0"/>
          <w:sz w:val="20"/>
          <w:szCs w:val="20"/>
        </w:rPr>
        <w:t>Xn</w:t>
      </w:r>
      <w:proofErr w:type="spellEnd"/>
      <w:r w:rsidR="006C1937">
        <w:rPr>
          <w:rFonts w:ascii="Times New Roman" w:eastAsia="宋体" w:hAnsi="Times New Roman" w:cs="Times New Roman"/>
          <w:kern w:val="0"/>
          <w:sz w:val="20"/>
          <w:szCs w:val="20"/>
        </w:rPr>
        <w:t xml:space="preserve"> connection between IAB-donors, there is no such dual-connectivity scenario for the mobile IAB-node, and it’s no need to support F1-C transport over NGAP.</w:t>
      </w:r>
    </w:p>
    <w:p w14:paraId="0CD3303D" w14:textId="2C2AD9D3" w:rsidR="001600FE" w:rsidRPr="00FB1CA8" w:rsidRDefault="00FB1CA8" w:rsidP="0019499C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4312F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Proposal </w:t>
      </w:r>
      <w:r w:rsidR="006C193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7</w:t>
      </w:r>
      <w:r w:rsidRPr="004312F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: Don't support F1-C transport over NGAP.</w:t>
      </w:r>
      <w:r w:rsidRPr="004312F2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</w:t>
      </w:r>
    </w:p>
    <w:p w14:paraId="7A1DA3AD" w14:textId="77777777" w:rsidR="00AA3FAE" w:rsidRPr="00AA3FAE" w:rsidRDefault="00AA3FAE" w:rsidP="00AA3FAE">
      <w:pPr>
        <w:keepNext/>
        <w:keepLines/>
        <w:widowControl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left="432" w:hanging="432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36"/>
          <w:lang w:val="en-GB"/>
        </w:rPr>
      </w:pPr>
      <w:r w:rsidRPr="00AA3FAE">
        <w:rPr>
          <w:rFonts w:ascii="Arial" w:eastAsia="宋体" w:hAnsi="Arial" w:cs="Times New Roman"/>
          <w:kern w:val="0"/>
          <w:sz w:val="36"/>
          <w:szCs w:val="36"/>
          <w:lang w:val="en-GB"/>
        </w:rPr>
        <w:t>Conclusion</w:t>
      </w:r>
    </w:p>
    <w:p w14:paraId="5E1D131E" w14:textId="118E4533" w:rsidR="00AA3FAE" w:rsidRDefault="00AA3FAE" w:rsidP="00AA3FAE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AA3FAE">
        <w:rPr>
          <w:rFonts w:ascii="Times New Roman" w:eastAsia="宋体" w:hAnsi="Times New Roman" w:cs="Times New Roman"/>
          <w:kern w:val="0"/>
          <w:sz w:val="20"/>
          <w:szCs w:val="20"/>
        </w:rPr>
        <w:t>Th</w:t>
      </w:r>
      <w:r w:rsidR="00F862F2">
        <w:rPr>
          <w:rFonts w:ascii="Times New Roman" w:eastAsia="宋体" w:hAnsi="Times New Roman" w:cs="Times New Roman"/>
          <w:kern w:val="0"/>
          <w:sz w:val="20"/>
          <w:szCs w:val="20"/>
        </w:rPr>
        <w:t>is contribution aims to</w:t>
      </w:r>
      <w:r w:rsidR="00C00903" w:rsidRPr="00C00903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C00903">
        <w:rPr>
          <w:rFonts w:ascii="Times New Roman" w:eastAsia="宋体" w:hAnsi="Times New Roman" w:cs="Times New Roman"/>
          <w:kern w:val="0"/>
          <w:sz w:val="20"/>
          <w:szCs w:val="20"/>
        </w:rPr>
        <w:t xml:space="preserve">discuss </w:t>
      </w:r>
      <w:r w:rsidR="004312F2">
        <w:rPr>
          <w:rFonts w:ascii="Times New Roman" w:eastAsia="宋体" w:hAnsi="Times New Roman" w:cs="Times New Roman"/>
          <w:kern w:val="0"/>
          <w:sz w:val="20"/>
          <w:szCs w:val="20"/>
        </w:rPr>
        <w:t xml:space="preserve">the general principles of </w:t>
      </w:r>
      <w:r w:rsidR="004312F2" w:rsidRPr="002845AD">
        <w:rPr>
          <w:rFonts w:ascii="Times New Roman" w:eastAsia="宋体" w:hAnsi="Times New Roman" w:cs="Times New Roman"/>
          <w:kern w:val="0"/>
          <w:sz w:val="20"/>
          <w:szCs w:val="20"/>
        </w:rPr>
        <w:t>mobile IAB-node inter-donor topology adaptation</w:t>
      </w:r>
      <w:r w:rsidR="00F862F2">
        <w:rPr>
          <w:rFonts w:ascii="Times New Roman" w:eastAsia="宋体" w:hAnsi="Times New Roman" w:cs="Times New Roman"/>
          <w:kern w:val="0"/>
          <w:sz w:val="20"/>
          <w:szCs w:val="20"/>
        </w:rPr>
        <w:t>. And following observations and proposals are concluded.</w:t>
      </w:r>
      <w:r w:rsidR="00385E03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</w:p>
    <w:p w14:paraId="49D0D415" w14:textId="77777777" w:rsidR="00C52632" w:rsidRPr="004312F2" w:rsidRDefault="00C52632" w:rsidP="00C52632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4312F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Proposal 1: Mobile IAB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-</w:t>
      </w:r>
      <w:r w:rsidRPr="004312F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node supports full migration, where a mobile IAB-DU can execute inter-donor migration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accompanied with</w:t>
      </w:r>
      <w:r w:rsidRPr="004312F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inter-donor migration of </w:t>
      </w:r>
      <w:proofErr w:type="gramStart"/>
      <w:r w:rsidRPr="004312F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its</w:t>
      </w:r>
      <w:proofErr w:type="gramEnd"/>
      <w:r w:rsidRPr="004312F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co-located mobile IAB-MT.</w:t>
      </w:r>
    </w:p>
    <w:p w14:paraId="6B650E41" w14:textId="77777777" w:rsidR="00C52632" w:rsidRPr="004312F2" w:rsidRDefault="00C52632" w:rsidP="00C52632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4312F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Proposal 2: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D</w:t>
      </w:r>
      <w:r w:rsidRPr="004312F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ecoupl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ing</w:t>
      </w:r>
      <w:r w:rsidRPr="004312F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of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inter-donor mobile IAB-</w:t>
      </w:r>
      <w:r w:rsidRPr="004312F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DU migration to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mobile IAB-</w:t>
      </w:r>
      <w:r w:rsidRPr="004312F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MT migration shall be discussed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until</w:t>
      </w:r>
      <w:r w:rsidRPr="004312F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RAN3 determines the architecture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of mobile IAB-node </w:t>
      </w:r>
      <w:r w:rsidRPr="004312F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with/without m-CU.</w:t>
      </w:r>
    </w:p>
    <w:p w14:paraId="1EE0D1A5" w14:textId="77777777" w:rsidR="00C52632" w:rsidRPr="00230EFC" w:rsidRDefault="00C52632" w:rsidP="00C52632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230EFC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230EFC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roposal 3: Reuse the IAB Transport Migration Management procedure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, to release </w:t>
      </w:r>
      <w:r w:rsidRPr="00230EFC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the resources under IAB-donor-CU2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and to set up t</w:t>
      </w:r>
      <w:r w:rsidRPr="00230EFC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he resources under IAB-donor-CU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3 for </w:t>
      </w:r>
      <w:r w:rsidRPr="00230EFC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offloaded traffic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,</w:t>
      </w:r>
      <w:r w:rsidRPr="00230EFC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for consecutive partial migrations of mobile IAB-node.</w:t>
      </w:r>
    </w:p>
    <w:p w14:paraId="31D76E80" w14:textId="77777777" w:rsidR="00C52632" w:rsidRPr="00A16791" w:rsidRDefault="00C52632" w:rsidP="00C52632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A16791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A16791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roposal 4: In absence of IP connection between IAB-donors, mobile IAB-node can only support full migration without intermediate stage where mobile IAB-MT and mobile IAB-DU terminate at different IAB-donors.</w:t>
      </w:r>
    </w:p>
    <w:p w14:paraId="30B6E9E3" w14:textId="77777777" w:rsidR="00C52632" w:rsidRDefault="00C52632" w:rsidP="00C52632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4312F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Proposal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5</w:t>
      </w:r>
      <w:r w:rsidRPr="004312F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: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I</w:t>
      </w:r>
      <w:r w:rsidRPr="004312F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n absence of </w:t>
      </w:r>
      <w:proofErr w:type="spellStart"/>
      <w:r w:rsidRPr="004312F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Xn</w:t>
      </w:r>
      <w:proofErr w:type="spellEnd"/>
      <w:r w:rsidRPr="004312F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connection between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IAB-</w:t>
      </w:r>
      <w:r w:rsidRPr="004312F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donor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s</w:t>
      </w:r>
      <w:r w:rsidRPr="004312F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, the </w:t>
      </w:r>
      <w:proofErr w:type="spellStart"/>
      <w:r w:rsidRPr="004312F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Xn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AP</w:t>
      </w:r>
      <w:proofErr w:type="spellEnd"/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procedure </w:t>
      </w:r>
      <w:r w:rsidRPr="004312F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for partial migration shall be extended to NG interface.</w:t>
      </w:r>
    </w:p>
    <w:p w14:paraId="74376495" w14:textId="77777777" w:rsidR="00C52632" w:rsidRPr="004312F2" w:rsidRDefault="00C52632" w:rsidP="00C52632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roposal 6: I</w:t>
      </w:r>
      <w:r w:rsidRPr="004312F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n absence of </w:t>
      </w:r>
      <w:proofErr w:type="spellStart"/>
      <w:r w:rsidRPr="004312F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Xn</w:t>
      </w:r>
      <w:proofErr w:type="spellEnd"/>
      <w:r w:rsidRPr="004312F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connection between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IAB-</w:t>
      </w:r>
      <w:r w:rsidRPr="004312F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donor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s</w:t>
      </w:r>
      <w:r w:rsidRPr="004312F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,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</w:t>
      </w:r>
      <w:r w:rsidRPr="006D5544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the procedures expected for full migration or IAB-DU migration shall be defined in both </w:t>
      </w:r>
      <w:proofErr w:type="spellStart"/>
      <w:r w:rsidRPr="006D5544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XnAP</w:t>
      </w:r>
      <w:proofErr w:type="spellEnd"/>
      <w:r w:rsidRPr="006D5544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and NGAP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.</w:t>
      </w:r>
    </w:p>
    <w:p w14:paraId="334749FA" w14:textId="4824ECA6" w:rsidR="004312F2" w:rsidRPr="004312F2" w:rsidRDefault="004312F2" w:rsidP="004312F2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4312F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Proposal </w:t>
      </w:r>
      <w:r w:rsidR="006C193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7</w:t>
      </w:r>
      <w:r w:rsidRPr="004312F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: Don't support F1-C transport over NGAP.</w:t>
      </w:r>
      <w:r w:rsidRPr="004312F2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</w:t>
      </w:r>
    </w:p>
    <w:p w14:paraId="1C734CA1" w14:textId="41BC687E" w:rsidR="00AA3FAE" w:rsidRPr="00AA3FAE" w:rsidRDefault="00AA3FAE" w:rsidP="00AA3FAE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Dotum" w:hAnsi="Arial" w:cs="Times New Roman"/>
          <w:kern w:val="0"/>
          <w:sz w:val="36"/>
          <w:szCs w:val="36"/>
          <w:lang w:val="en-GB"/>
        </w:rPr>
      </w:pPr>
      <w:r w:rsidRPr="00AA3FAE">
        <w:rPr>
          <w:rFonts w:ascii="Arial" w:eastAsia="Dotum" w:hAnsi="Arial" w:cs="Times New Roman"/>
          <w:kern w:val="0"/>
          <w:sz w:val="36"/>
          <w:szCs w:val="36"/>
          <w:lang w:val="en-GB"/>
        </w:rPr>
        <w:t>Reference</w:t>
      </w:r>
    </w:p>
    <w:bookmarkEnd w:id="0"/>
    <w:bookmarkEnd w:id="1"/>
    <w:p w14:paraId="7D7AC881" w14:textId="0DC4E9E9" w:rsidR="001D64DD" w:rsidRDefault="00E023CB" w:rsidP="00944C84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420"/>
        <w:textAlignment w:val="baseline"/>
        <w:rPr>
          <w:rFonts w:ascii="Times New Roman" w:eastAsia="宋体" w:hAnsi="Times New Roman" w:cs="Times New Roman"/>
          <w:kern w:val="0"/>
          <w:sz w:val="20"/>
          <w:lang w:val="x-none"/>
        </w:rPr>
      </w:pPr>
      <w:r>
        <w:rPr>
          <w:rFonts w:ascii="Times New Roman" w:eastAsia="宋体" w:hAnsi="Times New Roman" w:cs="Times New Roman"/>
          <w:kern w:val="0"/>
          <w:sz w:val="20"/>
          <w:lang w:val="x-none"/>
        </w:rPr>
        <w:t>Chairman notes of RAN3 117-e meeting.</w:t>
      </w:r>
    </w:p>
    <w:p w14:paraId="7D6501AB" w14:textId="5D66D7DF" w:rsidR="00CD2D10" w:rsidRPr="00E023CB" w:rsidRDefault="00BD7B7D" w:rsidP="00E023CB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420"/>
        <w:textAlignment w:val="baseline"/>
        <w:rPr>
          <w:rFonts w:ascii="Times New Roman" w:eastAsia="宋体" w:hAnsi="Times New Roman" w:cs="Times New Roman"/>
          <w:kern w:val="0"/>
          <w:sz w:val="20"/>
          <w:lang w:val="x-none"/>
        </w:rPr>
      </w:pPr>
      <w:r w:rsidRPr="00BD7B7D">
        <w:rPr>
          <w:rFonts w:ascii="Times New Roman" w:eastAsia="宋体" w:hAnsi="Times New Roman" w:cs="Times New Roman"/>
          <w:kern w:val="0"/>
          <w:sz w:val="20"/>
          <w:lang w:val="x-none"/>
        </w:rPr>
        <w:t>RP-22267</w:t>
      </w:r>
      <w:r w:rsidR="00A3044F">
        <w:rPr>
          <w:rFonts w:ascii="Times New Roman" w:eastAsia="宋体" w:hAnsi="Times New Roman" w:cs="Times New Roman"/>
          <w:kern w:val="0"/>
          <w:sz w:val="20"/>
          <w:lang w:val="x-none"/>
        </w:rPr>
        <w:t>1</w:t>
      </w:r>
      <w:r>
        <w:rPr>
          <w:rFonts w:ascii="Times New Roman" w:eastAsia="宋体" w:hAnsi="Times New Roman" w:cs="Times New Roman"/>
          <w:kern w:val="0"/>
          <w:sz w:val="20"/>
          <w:lang w:val="x-none"/>
        </w:rPr>
        <w:t>.</w:t>
      </w:r>
      <w:r w:rsidRPr="00BD7B7D">
        <w:rPr>
          <w:rFonts w:ascii="Times New Roman" w:eastAsia="宋体" w:hAnsi="Times New Roman" w:cs="Times New Roman"/>
          <w:kern w:val="0"/>
          <w:sz w:val="20"/>
          <w:lang w:val="x-none"/>
        </w:rPr>
        <w:t xml:space="preserve"> Revised WID for </w:t>
      </w:r>
      <w:proofErr w:type="spellStart"/>
      <w:r w:rsidRPr="00BD7B7D">
        <w:rPr>
          <w:rFonts w:ascii="Times New Roman" w:eastAsia="宋体" w:hAnsi="Times New Roman" w:cs="Times New Roman"/>
          <w:kern w:val="0"/>
          <w:sz w:val="20"/>
          <w:lang w:val="x-none"/>
        </w:rPr>
        <w:t>NR_mobile_IAB</w:t>
      </w:r>
      <w:proofErr w:type="spellEnd"/>
      <w:r>
        <w:rPr>
          <w:rFonts w:ascii="Times New Roman" w:eastAsia="宋体" w:hAnsi="Times New Roman" w:cs="Times New Roman"/>
          <w:kern w:val="0"/>
          <w:sz w:val="20"/>
          <w:lang w:val="x-none"/>
        </w:rPr>
        <w:t>.</w:t>
      </w:r>
    </w:p>
    <w:p w14:paraId="0B72CA15" w14:textId="52597578" w:rsidR="00CD2D10" w:rsidRPr="000B0433" w:rsidRDefault="002E2809" w:rsidP="00944C84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420"/>
        <w:textAlignment w:val="baseline"/>
        <w:rPr>
          <w:rFonts w:ascii="Times New Roman" w:eastAsia="宋体" w:hAnsi="Times New Roman" w:cs="Times New Roman"/>
          <w:kern w:val="0"/>
          <w:sz w:val="20"/>
          <w:lang w:val="x-none"/>
        </w:rPr>
      </w:pPr>
      <w:r w:rsidRPr="002E2809">
        <w:rPr>
          <w:rFonts w:ascii="Times New Roman" w:eastAsia="宋体" w:hAnsi="Times New Roman" w:cs="Times New Roman"/>
          <w:kern w:val="0"/>
          <w:sz w:val="20"/>
          <w:lang w:val="x-none"/>
        </w:rPr>
        <w:t>3GPP TR 23.700-05</w:t>
      </w:r>
      <w:r>
        <w:rPr>
          <w:rFonts w:ascii="Times New Roman" w:eastAsia="宋体" w:hAnsi="Times New Roman" w:cs="Times New Roman"/>
          <w:kern w:val="0"/>
          <w:sz w:val="20"/>
          <w:lang w:val="x-none"/>
        </w:rPr>
        <w:t xml:space="preserve">. </w:t>
      </w:r>
      <w:r w:rsidRPr="002E2809">
        <w:rPr>
          <w:rFonts w:ascii="Times New Roman" w:eastAsia="宋体" w:hAnsi="Times New Roman" w:cs="Times New Roman"/>
          <w:kern w:val="0"/>
          <w:sz w:val="20"/>
          <w:lang w:val="x-none"/>
        </w:rPr>
        <w:t>Study on architecture enhancements for</w:t>
      </w:r>
      <w:r>
        <w:rPr>
          <w:rFonts w:ascii="Times New Roman" w:eastAsia="宋体" w:hAnsi="Times New Roman" w:cs="Times New Roman"/>
          <w:kern w:val="0"/>
          <w:sz w:val="20"/>
          <w:lang w:val="x-none"/>
        </w:rPr>
        <w:t xml:space="preserve"> </w:t>
      </w:r>
      <w:r w:rsidRPr="002E2809">
        <w:rPr>
          <w:rFonts w:ascii="Times New Roman" w:eastAsia="宋体" w:hAnsi="Times New Roman" w:cs="Times New Roman"/>
          <w:kern w:val="0"/>
          <w:sz w:val="20"/>
          <w:lang w:val="x-none"/>
        </w:rPr>
        <w:t>vehicle-mounted relays</w:t>
      </w:r>
      <w:r>
        <w:rPr>
          <w:rFonts w:ascii="Times New Roman" w:eastAsia="宋体" w:hAnsi="Times New Roman" w:cs="Times New Roman"/>
          <w:kern w:val="0"/>
          <w:sz w:val="20"/>
          <w:lang w:val="x-none"/>
        </w:rPr>
        <w:t>.</w:t>
      </w:r>
    </w:p>
    <w:sectPr w:rsidR="00CD2D10" w:rsidRPr="000B0433" w:rsidSect="0085683C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48E3DE" w14:textId="77777777" w:rsidR="0083183A" w:rsidRDefault="0083183A" w:rsidP="00AA3FAE">
      <w:r>
        <w:separator/>
      </w:r>
    </w:p>
  </w:endnote>
  <w:endnote w:type="continuationSeparator" w:id="0">
    <w:p w14:paraId="1A72FF09" w14:textId="77777777" w:rsidR="0083183A" w:rsidRDefault="0083183A" w:rsidP="00AA3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11677" w14:textId="77777777" w:rsidR="00B41AA4" w:rsidRDefault="00FF2385">
    <w:pPr>
      <w:pStyle w:val="a5"/>
      <w:tabs>
        <w:tab w:val="center" w:pos="4820"/>
        <w:tab w:val="right" w:pos="9639"/>
      </w:tabs>
    </w:pPr>
    <w:r>
      <w:tab/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>
      <w:rPr>
        <w:rStyle w:val="a7"/>
      </w:rPr>
      <w:t>3</w:t>
    </w:r>
    <w:r>
      <w:rPr>
        <w:rStyle w:val="a7"/>
      </w:rPr>
      <w:fldChar w:fldCharType="end"/>
    </w:r>
    <w:r>
      <w:rPr>
        <w:rStyle w:val="a7"/>
      </w:rPr>
      <w:t>/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>
      <w:rPr>
        <w:rStyle w:val="a7"/>
      </w:rPr>
      <w:t>4</w:t>
    </w:r>
    <w:r>
      <w:rPr>
        <w:rStyle w:val="a7"/>
      </w:rPr>
      <w:fldChar w:fldCharType="end"/>
    </w:r>
    <w:r>
      <w:rPr>
        <w:rStyle w:val="a7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49AF13" w14:textId="77777777" w:rsidR="0083183A" w:rsidRDefault="0083183A" w:rsidP="00AA3FAE">
      <w:r>
        <w:separator/>
      </w:r>
    </w:p>
  </w:footnote>
  <w:footnote w:type="continuationSeparator" w:id="0">
    <w:p w14:paraId="13FA3454" w14:textId="77777777" w:rsidR="0083183A" w:rsidRDefault="0083183A" w:rsidP="00AA3F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24677" w14:textId="77777777" w:rsidR="00B41AA4" w:rsidRDefault="00FF2385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A7A31"/>
    <w:multiLevelType w:val="hybridMultilevel"/>
    <w:tmpl w:val="1016597A"/>
    <w:lvl w:ilvl="0" w:tplc="E69A28F6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EA04FA4"/>
    <w:multiLevelType w:val="hybridMultilevel"/>
    <w:tmpl w:val="0A6E7828"/>
    <w:lvl w:ilvl="0" w:tplc="7FDA356E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2882AE4"/>
    <w:multiLevelType w:val="hybridMultilevel"/>
    <w:tmpl w:val="FFB4620A"/>
    <w:lvl w:ilvl="0" w:tplc="B388116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6AB492A"/>
    <w:multiLevelType w:val="hybridMultilevel"/>
    <w:tmpl w:val="453C59F6"/>
    <w:lvl w:ilvl="0" w:tplc="E69A28F6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5" w15:restartNumberingAfterBreak="0">
    <w:nsid w:val="4F3861C8"/>
    <w:multiLevelType w:val="hybridMultilevel"/>
    <w:tmpl w:val="FB96555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8603255"/>
    <w:multiLevelType w:val="hybridMultilevel"/>
    <w:tmpl w:val="383E1D20"/>
    <w:lvl w:ilvl="0" w:tplc="3566E418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58725539"/>
    <w:multiLevelType w:val="hybridMultilevel"/>
    <w:tmpl w:val="6C964E02"/>
    <w:lvl w:ilvl="0" w:tplc="E69A28F6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3493FEE"/>
    <w:multiLevelType w:val="hybridMultilevel"/>
    <w:tmpl w:val="0DAAB3B2"/>
    <w:lvl w:ilvl="0" w:tplc="0A2C88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58908B0"/>
    <w:multiLevelType w:val="hybridMultilevel"/>
    <w:tmpl w:val="D55CD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D45689"/>
    <w:multiLevelType w:val="hybridMultilevel"/>
    <w:tmpl w:val="EA1600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59"/>
        </w:tabs>
        <w:ind w:left="35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12" w15:restartNumberingAfterBreak="0">
    <w:nsid w:val="765F5D59"/>
    <w:multiLevelType w:val="hybridMultilevel"/>
    <w:tmpl w:val="C5909780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11"/>
  </w:num>
  <w:num w:numId="5">
    <w:abstractNumId w:val="1"/>
  </w:num>
  <w:num w:numId="6">
    <w:abstractNumId w:val="2"/>
  </w:num>
  <w:num w:numId="7">
    <w:abstractNumId w:val="12"/>
  </w:num>
  <w:num w:numId="8">
    <w:abstractNumId w:val="5"/>
  </w:num>
  <w:num w:numId="9">
    <w:abstractNumId w:val="9"/>
  </w:num>
  <w:num w:numId="10">
    <w:abstractNumId w:val="3"/>
  </w:num>
  <w:num w:numId="11">
    <w:abstractNumId w:val="0"/>
  </w:num>
  <w:num w:numId="12">
    <w:abstractNumId w:val="7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F7E"/>
    <w:rsid w:val="00002113"/>
    <w:rsid w:val="000024F1"/>
    <w:rsid w:val="00006F15"/>
    <w:rsid w:val="0000703A"/>
    <w:rsid w:val="00011F5D"/>
    <w:rsid w:val="00017A52"/>
    <w:rsid w:val="00017A92"/>
    <w:rsid w:val="00022004"/>
    <w:rsid w:val="00022A6F"/>
    <w:rsid w:val="000306D0"/>
    <w:rsid w:val="00032116"/>
    <w:rsid w:val="00035328"/>
    <w:rsid w:val="00035983"/>
    <w:rsid w:val="00047E11"/>
    <w:rsid w:val="000505CB"/>
    <w:rsid w:val="0005575F"/>
    <w:rsid w:val="000566E1"/>
    <w:rsid w:val="00057331"/>
    <w:rsid w:val="00060A16"/>
    <w:rsid w:val="000613CF"/>
    <w:rsid w:val="0006171A"/>
    <w:rsid w:val="000649F5"/>
    <w:rsid w:val="0006683B"/>
    <w:rsid w:val="00070D39"/>
    <w:rsid w:val="00072D31"/>
    <w:rsid w:val="00076213"/>
    <w:rsid w:val="0008016F"/>
    <w:rsid w:val="00086B95"/>
    <w:rsid w:val="000874BB"/>
    <w:rsid w:val="0009505F"/>
    <w:rsid w:val="00095520"/>
    <w:rsid w:val="0009781A"/>
    <w:rsid w:val="000A18DF"/>
    <w:rsid w:val="000A3D7E"/>
    <w:rsid w:val="000A56DD"/>
    <w:rsid w:val="000B0433"/>
    <w:rsid w:val="000B1D18"/>
    <w:rsid w:val="000B7C20"/>
    <w:rsid w:val="000C0937"/>
    <w:rsid w:val="000C15D9"/>
    <w:rsid w:val="000C1990"/>
    <w:rsid w:val="000C3F89"/>
    <w:rsid w:val="000C73E6"/>
    <w:rsid w:val="000C7510"/>
    <w:rsid w:val="000D0A67"/>
    <w:rsid w:val="000D1770"/>
    <w:rsid w:val="000D3ADF"/>
    <w:rsid w:val="000D4846"/>
    <w:rsid w:val="000D5F51"/>
    <w:rsid w:val="000E24D5"/>
    <w:rsid w:val="000E61B1"/>
    <w:rsid w:val="000E651D"/>
    <w:rsid w:val="000E706D"/>
    <w:rsid w:val="000F0260"/>
    <w:rsid w:val="000F0310"/>
    <w:rsid w:val="000F250D"/>
    <w:rsid w:val="000F6A9D"/>
    <w:rsid w:val="000F7D37"/>
    <w:rsid w:val="00100689"/>
    <w:rsid w:val="00101812"/>
    <w:rsid w:val="00111B28"/>
    <w:rsid w:val="00113831"/>
    <w:rsid w:val="001139CF"/>
    <w:rsid w:val="001140E8"/>
    <w:rsid w:val="0011469E"/>
    <w:rsid w:val="00114E43"/>
    <w:rsid w:val="0011533B"/>
    <w:rsid w:val="001156C0"/>
    <w:rsid w:val="00116D52"/>
    <w:rsid w:val="00121955"/>
    <w:rsid w:val="00123848"/>
    <w:rsid w:val="00130515"/>
    <w:rsid w:val="00134A9A"/>
    <w:rsid w:val="00134C0A"/>
    <w:rsid w:val="001353CD"/>
    <w:rsid w:val="001420AF"/>
    <w:rsid w:val="00154A98"/>
    <w:rsid w:val="0015523D"/>
    <w:rsid w:val="001556FC"/>
    <w:rsid w:val="00157E1B"/>
    <w:rsid w:val="001600FE"/>
    <w:rsid w:val="00161A1A"/>
    <w:rsid w:val="001623DF"/>
    <w:rsid w:val="0017256C"/>
    <w:rsid w:val="00172D96"/>
    <w:rsid w:val="0017370C"/>
    <w:rsid w:val="00174C51"/>
    <w:rsid w:val="001847E8"/>
    <w:rsid w:val="00190FAF"/>
    <w:rsid w:val="0019499C"/>
    <w:rsid w:val="001A0305"/>
    <w:rsid w:val="001A0986"/>
    <w:rsid w:val="001A2238"/>
    <w:rsid w:val="001A2383"/>
    <w:rsid w:val="001A38C6"/>
    <w:rsid w:val="001A44C7"/>
    <w:rsid w:val="001A7180"/>
    <w:rsid w:val="001B0D34"/>
    <w:rsid w:val="001B15FE"/>
    <w:rsid w:val="001B31AB"/>
    <w:rsid w:val="001C0F1D"/>
    <w:rsid w:val="001C3355"/>
    <w:rsid w:val="001C7A0F"/>
    <w:rsid w:val="001D64DD"/>
    <w:rsid w:val="001F0325"/>
    <w:rsid w:val="001F10C6"/>
    <w:rsid w:val="001F2D6F"/>
    <w:rsid w:val="001F34D3"/>
    <w:rsid w:val="001F5824"/>
    <w:rsid w:val="002070BF"/>
    <w:rsid w:val="00213791"/>
    <w:rsid w:val="0022248C"/>
    <w:rsid w:val="00222F62"/>
    <w:rsid w:val="00227B13"/>
    <w:rsid w:val="00230B9F"/>
    <w:rsid w:val="00230EFC"/>
    <w:rsid w:val="00230FBE"/>
    <w:rsid w:val="00232519"/>
    <w:rsid w:val="00232B2A"/>
    <w:rsid w:val="0024433A"/>
    <w:rsid w:val="00244E37"/>
    <w:rsid w:val="00245E3F"/>
    <w:rsid w:val="002500C6"/>
    <w:rsid w:val="00256265"/>
    <w:rsid w:val="00261529"/>
    <w:rsid w:val="002639A4"/>
    <w:rsid w:val="00267897"/>
    <w:rsid w:val="00277010"/>
    <w:rsid w:val="00281EF8"/>
    <w:rsid w:val="00283083"/>
    <w:rsid w:val="00283294"/>
    <w:rsid w:val="002837EF"/>
    <w:rsid w:val="0028412F"/>
    <w:rsid w:val="002845AD"/>
    <w:rsid w:val="00286C7E"/>
    <w:rsid w:val="00292940"/>
    <w:rsid w:val="002949AE"/>
    <w:rsid w:val="002A3675"/>
    <w:rsid w:val="002A5557"/>
    <w:rsid w:val="002A7108"/>
    <w:rsid w:val="002B23C1"/>
    <w:rsid w:val="002B3BF8"/>
    <w:rsid w:val="002B61AB"/>
    <w:rsid w:val="002B7FB5"/>
    <w:rsid w:val="002C1BFE"/>
    <w:rsid w:val="002C6DA5"/>
    <w:rsid w:val="002D370E"/>
    <w:rsid w:val="002D6F0D"/>
    <w:rsid w:val="002E166E"/>
    <w:rsid w:val="002E2809"/>
    <w:rsid w:val="002E416B"/>
    <w:rsid w:val="002E57D5"/>
    <w:rsid w:val="002F231B"/>
    <w:rsid w:val="002F4481"/>
    <w:rsid w:val="002F5E78"/>
    <w:rsid w:val="002F7A58"/>
    <w:rsid w:val="002F7DD1"/>
    <w:rsid w:val="0030034E"/>
    <w:rsid w:val="00301940"/>
    <w:rsid w:val="00304AB3"/>
    <w:rsid w:val="003122DB"/>
    <w:rsid w:val="00314155"/>
    <w:rsid w:val="003169C7"/>
    <w:rsid w:val="0031760A"/>
    <w:rsid w:val="003179AD"/>
    <w:rsid w:val="0032255E"/>
    <w:rsid w:val="00323869"/>
    <w:rsid w:val="00324B30"/>
    <w:rsid w:val="0033243A"/>
    <w:rsid w:val="00340F49"/>
    <w:rsid w:val="00341F62"/>
    <w:rsid w:val="00343D32"/>
    <w:rsid w:val="0035034A"/>
    <w:rsid w:val="003521C3"/>
    <w:rsid w:val="003563BC"/>
    <w:rsid w:val="00362F2C"/>
    <w:rsid w:val="00364270"/>
    <w:rsid w:val="00364AC3"/>
    <w:rsid w:val="00373427"/>
    <w:rsid w:val="0037433B"/>
    <w:rsid w:val="00375BBE"/>
    <w:rsid w:val="00380BE9"/>
    <w:rsid w:val="003820DA"/>
    <w:rsid w:val="00383388"/>
    <w:rsid w:val="00384956"/>
    <w:rsid w:val="00385E03"/>
    <w:rsid w:val="003901C4"/>
    <w:rsid w:val="0039391B"/>
    <w:rsid w:val="003976B5"/>
    <w:rsid w:val="003A0B1A"/>
    <w:rsid w:val="003A303F"/>
    <w:rsid w:val="003A4A2A"/>
    <w:rsid w:val="003A5735"/>
    <w:rsid w:val="003B170E"/>
    <w:rsid w:val="003B4C4B"/>
    <w:rsid w:val="003C172B"/>
    <w:rsid w:val="003C333E"/>
    <w:rsid w:val="003C6CEF"/>
    <w:rsid w:val="003D28A0"/>
    <w:rsid w:val="003E2594"/>
    <w:rsid w:val="003E7CE8"/>
    <w:rsid w:val="003F22E5"/>
    <w:rsid w:val="003F2D27"/>
    <w:rsid w:val="003F2E3B"/>
    <w:rsid w:val="003F5217"/>
    <w:rsid w:val="00400281"/>
    <w:rsid w:val="00402DFA"/>
    <w:rsid w:val="0040415F"/>
    <w:rsid w:val="0040527B"/>
    <w:rsid w:val="00405361"/>
    <w:rsid w:val="00410D54"/>
    <w:rsid w:val="004139B5"/>
    <w:rsid w:val="004139F0"/>
    <w:rsid w:val="00415D56"/>
    <w:rsid w:val="00425021"/>
    <w:rsid w:val="004312F2"/>
    <w:rsid w:val="00431BB4"/>
    <w:rsid w:val="00435674"/>
    <w:rsid w:val="00436CF5"/>
    <w:rsid w:val="0043789D"/>
    <w:rsid w:val="00445267"/>
    <w:rsid w:val="004561FF"/>
    <w:rsid w:val="00460CDD"/>
    <w:rsid w:val="00461164"/>
    <w:rsid w:val="0046367F"/>
    <w:rsid w:val="004646DC"/>
    <w:rsid w:val="00470777"/>
    <w:rsid w:val="004774BA"/>
    <w:rsid w:val="0047779A"/>
    <w:rsid w:val="00482C89"/>
    <w:rsid w:val="00482EDB"/>
    <w:rsid w:val="00487DC1"/>
    <w:rsid w:val="00493281"/>
    <w:rsid w:val="004958CF"/>
    <w:rsid w:val="00496C05"/>
    <w:rsid w:val="004A40B8"/>
    <w:rsid w:val="004A7B5F"/>
    <w:rsid w:val="004B04C5"/>
    <w:rsid w:val="004B4E84"/>
    <w:rsid w:val="004B5B72"/>
    <w:rsid w:val="004B5BA7"/>
    <w:rsid w:val="004B5F55"/>
    <w:rsid w:val="004C0221"/>
    <w:rsid w:val="004C155B"/>
    <w:rsid w:val="004C31CB"/>
    <w:rsid w:val="004C4B68"/>
    <w:rsid w:val="004C753F"/>
    <w:rsid w:val="004D23F2"/>
    <w:rsid w:val="004D2414"/>
    <w:rsid w:val="004D54D2"/>
    <w:rsid w:val="004D5505"/>
    <w:rsid w:val="004D768E"/>
    <w:rsid w:val="004E0968"/>
    <w:rsid w:val="004E1059"/>
    <w:rsid w:val="004E7396"/>
    <w:rsid w:val="004E7C63"/>
    <w:rsid w:val="004F17F8"/>
    <w:rsid w:val="004F1FBE"/>
    <w:rsid w:val="004F7753"/>
    <w:rsid w:val="004F7F21"/>
    <w:rsid w:val="00502253"/>
    <w:rsid w:val="00504029"/>
    <w:rsid w:val="00514D03"/>
    <w:rsid w:val="0052218C"/>
    <w:rsid w:val="0052253A"/>
    <w:rsid w:val="005237AE"/>
    <w:rsid w:val="00530F9F"/>
    <w:rsid w:val="0053213E"/>
    <w:rsid w:val="00532DEC"/>
    <w:rsid w:val="005347E6"/>
    <w:rsid w:val="005355E0"/>
    <w:rsid w:val="005419F1"/>
    <w:rsid w:val="00541DC6"/>
    <w:rsid w:val="00542A22"/>
    <w:rsid w:val="0054309F"/>
    <w:rsid w:val="00543280"/>
    <w:rsid w:val="005508EC"/>
    <w:rsid w:val="00550D47"/>
    <w:rsid w:val="005526BE"/>
    <w:rsid w:val="00554BA2"/>
    <w:rsid w:val="0055674D"/>
    <w:rsid w:val="00557AC7"/>
    <w:rsid w:val="00560BE1"/>
    <w:rsid w:val="00561078"/>
    <w:rsid w:val="00561F85"/>
    <w:rsid w:val="00562772"/>
    <w:rsid w:val="00564234"/>
    <w:rsid w:val="005649B3"/>
    <w:rsid w:val="0056637F"/>
    <w:rsid w:val="00570A72"/>
    <w:rsid w:val="00571E12"/>
    <w:rsid w:val="00571FC2"/>
    <w:rsid w:val="005734BC"/>
    <w:rsid w:val="00575F7F"/>
    <w:rsid w:val="00576069"/>
    <w:rsid w:val="0058072D"/>
    <w:rsid w:val="00583837"/>
    <w:rsid w:val="0058675F"/>
    <w:rsid w:val="00587CBF"/>
    <w:rsid w:val="005919B5"/>
    <w:rsid w:val="005939B2"/>
    <w:rsid w:val="00597B84"/>
    <w:rsid w:val="005A0141"/>
    <w:rsid w:val="005A172D"/>
    <w:rsid w:val="005A7B59"/>
    <w:rsid w:val="005B311C"/>
    <w:rsid w:val="005B4B3A"/>
    <w:rsid w:val="005B7597"/>
    <w:rsid w:val="005C686B"/>
    <w:rsid w:val="005C6EEA"/>
    <w:rsid w:val="005C7E1D"/>
    <w:rsid w:val="005D1F9E"/>
    <w:rsid w:val="005D2529"/>
    <w:rsid w:val="005D526C"/>
    <w:rsid w:val="005E0ABB"/>
    <w:rsid w:val="005E1E09"/>
    <w:rsid w:val="005E6B5B"/>
    <w:rsid w:val="005E7BCB"/>
    <w:rsid w:val="00602B4F"/>
    <w:rsid w:val="006040E0"/>
    <w:rsid w:val="00604CC3"/>
    <w:rsid w:val="00605573"/>
    <w:rsid w:val="00607C4A"/>
    <w:rsid w:val="00611379"/>
    <w:rsid w:val="006122D0"/>
    <w:rsid w:val="00625208"/>
    <w:rsid w:val="0062546C"/>
    <w:rsid w:val="00625E1E"/>
    <w:rsid w:val="00632A14"/>
    <w:rsid w:val="0063421A"/>
    <w:rsid w:val="00650019"/>
    <w:rsid w:val="00655FA7"/>
    <w:rsid w:val="00662469"/>
    <w:rsid w:val="00666EA1"/>
    <w:rsid w:val="006749D1"/>
    <w:rsid w:val="006806E9"/>
    <w:rsid w:val="00681E37"/>
    <w:rsid w:val="00682F29"/>
    <w:rsid w:val="00683F4C"/>
    <w:rsid w:val="00684A40"/>
    <w:rsid w:val="00684D54"/>
    <w:rsid w:val="006863E6"/>
    <w:rsid w:val="00687312"/>
    <w:rsid w:val="00687695"/>
    <w:rsid w:val="006917E5"/>
    <w:rsid w:val="00691EC3"/>
    <w:rsid w:val="006925A3"/>
    <w:rsid w:val="006956DC"/>
    <w:rsid w:val="00696619"/>
    <w:rsid w:val="006A1E9C"/>
    <w:rsid w:val="006A3137"/>
    <w:rsid w:val="006A3783"/>
    <w:rsid w:val="006A5274"/>
    <w:rsid w:val="006A53D6"/>
    <w:rsid w:val="006B0FE9"/>
    <w:rsid w:val="006B2FD8"/>
    <w:rsid w:val="006C1937"/>
    <w:rsid w:val="006C1E84"/>
    <w:rsid w:val="006C2AE1"/>
    <w:rsid w:val="006D0075"/>
    <w:rsid w:val="006D1A36"/>
    <w:rsid w:val="006D23C8"/>
    <w:rsid w:val="006D2AEE"/>
    <w:rsid w:val="006D5544"/>
    <w:rsid w:val="006D5CA9"/>
    <w:rsid w:val="006D6F3D"/>
    <w:rsid w:val="006E2F17"/>
    <w:rsid w:val="006E5A0A"/>
    <w:rsid w:val="006E7CED"/>
    <w:rsid w:val="006F50AC"/>
    <w:rsid w:val="006F7041"/>
    <w:rsid w:val="00700A81"/>
    <w:rsid w:val="00703BAA"/>
    <w:rsid w:val="00705A56"/>
    <w:rsid w:val="0070723A"/>
    <w:rsid w:val="00707369"/>
    <w:rsid w:val="00715902"/>
    <w:rsid w:val="007209B0"/>
    <w:rsid w:val="00730389"/>
    <w:rsid w:val="00730BC7"/>
    <w:rsid w:val="0073471A"/>
    <w:rsid w:val="00735F80"/>
    <w:rsid w:val="00737853"/>
    <w:rsid w:val="007424B9"/>
    <w:rsid w:val="007452B6"/>
    <w:rsid w:val="0075187D"/>
    <w:rsid w:val="00755EFE"/>
    <w:rsid w:val="0076720C"/>
    <w:rsid w:val="00780AEB"/>
    <w:rsid w:val="0078172C"/>
    <w:rsid w:val="007846F4"/>
    <w:rsid w:val="00786FBB"/>
    <w:rsid w:val="00787F6F"/>
    <w:rsid w:val="0079514C"/>
    <w:rsid w:val="007A291D"/>
    <w:rsid w:val="007A2F3F"/>
    <w:rsid w:val="007B3141"/>
    <w:rsid w:val="007B334A"/>
    <w:rsid w:val="007C41E1"/>
    <w:rsid w:val="007C4A72"/>
    <w:rsid w:val="007D06AC"/>
    <w:rsid w:val="007E1B20"/>
    <w:rsid w:val="007E4DDD"/>
    <w:rsid w:val="007F1BD0"/>
    <w:rsid w:val="007F2A4D"/>
    <w:rsid w:val="007F2E5B"/>
    <w:rsid w:val="00801B97"/>
    <w:rsid w:val="00807095"/>
    <w:rsid w:val="00811326"/>
    <w:rsid w:val="00811C41"/>
    <w:rsid w:val="00813C06"/>
    <w:rsid w:val="008224D6"/>
    <w:rsid w:val="00824193"/>
    <w:rsid w:val="0083183A"/>
    <w:rsid w:val="00832BE1"/>
    <w:rsid w:val="00835D29"/>
    <w:rsid w:val="0084197E"/>
    <w:rsid w:val="00844F67"/>
    <w:rsid w:val="0084513C"/>
    <w:rsid w:val="008452D8"/>
    <w:rsid w:val="008522C2"/>
    <w:rsid w:val="00855C34"/>
    <w:rsid w:val="00864DEE"/>
    <w:rsid w:val="00865F65"/>
    <w:rsid w:val="00866ED3"/>
    <w:rsid w:val="0086765A"/>
    <w:rsid w:val="00870252"/>
    <w:rsid w:val="008714A7"/>
    <w:rsid w:val="00877E0A"/>
    <w:rsid w:val="00881EEB"/>
    <w:rsid w:val="0088224B"/>
    <w:rsid w:val="00885223"/>
    <w:rsid w:val="0088742B"/>
    <w:rsid w:val="00887EAA"/>
    <w:rsid w:val="00896FE5"/>
    <w:rsid w:val="0089705F"/>
    <w:rsid w:val="008974CD"/>
    <w:rsid w:val="008A0730"/>
    <w:rsid w:val="008B1345"/>
    <w:rsid w:val="008B1CAD"/>
    <w:rsid w:val="008B79BC"/>
    <w:rsid w:val="008B7CB6"/>
    <w:rsid w:val="008B7D21"/>
    <w:rsid w:val="008C26CC"/>
    <w:rsid w:val="008D16AC"/>
    <w:rsid w:val="008D3C50"/>
    <w:rsid w:val="008D3D70"/>
    <w:rsid w:val="008D669E"/>
    <w:rsid w:val="008D7810"/>
    <w:rsid w:val="008E0ECE"/>
    <w:rsid w:val="008E59A7"/>
    <w:rsid w:val="008F063F"/>
    <w:rsid w:val="008F35E8"/>
    <w:rsid w:val="00901EE5"/>
    <w:rsid w:val="00906767"/>
    <w:rsid w:val="009113BD"/>
    <w:rsid w:val="009174F1"/>
    <w:rsid w:val="00922240"/>
    <w:rsid w:val="009259CA"/>
    <w:rsid w:val="009269BB"/>
    <w:rsid w:val="00926DCD"/>
    <w:rsid w:val="00932D3E"/>
    <w:rsid w:val="00943A26"/>
    <w:rsid w:val="009443D2"/>
    <w:rsid w:val="00944C84"/>
    <w:rsid w:val="0094600E"/>
    <w:rsid w:val="009506D0"/>
    <w:rsid w:val="00952028"/>
    <w:rsid w:val="0095297E"/>
    <w:rsid w:val="00953570"/>
    <w:rsid w:val="009536E1"/>
    <w:rsid w:val="009551A9"/>
    <w:rsid w:val="00957C7B"/>
    <w:rsid w:val="00966C4C"/>
    <w:rsid w:val="00973D23"/>
    <w:rsid w:val="00976AEE"/>
    <w:rsid w:val="00977F34"/>
    <w:rsid w:val="009912C5"/>
    <w:rsid w:val="00992405"/>
    <w:rsid w:val="009926ED"/>
    <w:rsid w:val="00994662"/>
    <w:rsid w:val="00994907"/>
    <w:rsid w:val="00996CC0"/>
    <w:rsid w:val="009B19F1"/>
    <w:rsid w:val="009B3EF1"/>
    <w:rsid w:val="009C0360"/>
    <w:rsid w:val="009C3A6E"/>
    <w:rsid w:val="009C3C24"/>
    <w:rsid w:val="009C3D6A"/>
    <w:rsid w:val="009C6DD1"/>
    <w:rsid w:val="009C7F3D"/>
    <w:rsid w:val="009D6382"/>
    <w:rsid w:val="009E4AD9"/>
    <w:rsid w:val="009E4B2C"/>
    <w:rsid w:val="009E4D5F"/>
    <w:rsid w:val="009E506A"/>
    <w:rsid w:val="009E5B91"/>
    <w:rsid w:val="009E7474"/>
    <w:rsid w:val="009F1E23"/>
    <w:rsid w:val="009F235E"/>
    <w:rsid w:val="00A017DE"/>
    <w:rsid w:val="00A03261"/>
    <w:rsid w:val="00A035AE"/>
    <w:rsid w:val="00A048A1"/>
    <w:rsid w:val="00A04D91"/>
    <w:rsid w:val="00A12C2E"/>
    <w:rsid w:val="00A16791"/>
    <w:rsid w:val="00A16F17"/>
    <w:rsid w:val="00A2110E"/>
    <w:rsid w:val="00A218C1"/>
    <w:rsid w:val="00A21C09"/>
    <w:rsid w:val="00A24E34"/>
    <w:rsid w:val="00A259FE"/>
    <w:rsid w:val="00A26D85"/>
    <w:rsid w:val="00A26E1D"/>
    <w:rsid w:val="00A27064"/>
    <w:rsid w:val="00A3044F"/>
    <w:rsid w:val="00A37406"/>
    <w:rsid w:val="00A41CAB"/>
    <w:rsid w:val="00A45B7F"/>
    <w:rsid w:val="00A46452"/>
    <w:rsid w:val="00A5147F"/>
    <w:rsid w:val="00A51D78"/>
    <w:rsid w:val="00A53E8A"/>
    <w:rsid w:val="00A54AB4"/>
    <w:rsid w:val="00A601A2"/>
    <w:rsid w:val="00A661E2"/>
    <w:rsid w:val="00A765AC"/>
    <w:rsid w:val="00A77D6B"/>
    <w:rsid w:val="00A81646"/>
    <w:rsid w:val="00A82459"/>
    <w:rsid w:val="00A837DE"/>
    <w:rsid w:val="00A84D97"/>
    <w:rsid w:val="00A84E6F"/>
    <w:rsid w:val="00A85027"/>
    <w:rsid w:val="00A90763"/>
    <w:rsid w:val="00A93291"/>
    <w:rsid w:val="00A933F5"/>
    <w:rsid w:val="00AA0C41"/>
    <w:rsid w:val="00AA290B"/>
    <w:rsid w:val="00AA2E85"/>
    <w:rsid w:val="00AA34FB"/>
    <w:rsid w:val="00AA3FAE"/>
    <w:rsid w:val="00AA70B5"/>
    <w:rsid w:val="00AA7657"/>
    <w:rsid w:val="00AA7EAE"/>
    <w:rsid w:val="00AB0A5A"/>
    <w:rsid w:val="00AC25E2"/>
    <w:rsid w:val="00AC3051"/>
    <w:rsid w:val="00AC44C3"/>
    <w:rsid w:val="00AC553A"/>
    <w:rsid w:val="00AC737C"/>
    <w:rsid w:val="00AD28E4"/>
    <w:rsid w:val="00AD498C"/>
    <w:rsid w:val="00AE173D"/>
    <w:rsid w:val="00AE4ACB"/>
    <w:rsid w:val="00AF05F2"/>
    <w:rsid w:val="00AF24A3"/>
    <w:rsid w:val="00AF4491"/>
    <w:rsid w:val="00AF7716"/>
    <w:rsid w:val="00B0062A"/>
    <w:rsid w:val="00B06DA9"/>
    <w:rsid w:val="00B20D2F"/>
    <w:rsid w:val="00B2364A"/>
    <w:rsid w:val="00B25314"/>
    <w:rsid w:val="00B26539"/>
    <w:rsid w:val="00B317EB"/>
    <w:rsid w:val="00B3317F"/>
    <w:rsid w:val="00B33EE7"/>
    <w:rsid w:val="00B34B5A"/>
    <w:rsid w:val="00B40018"/>
    <w:rsid w:val="00B403D4"/>
    <w:rsid w:val="00B422B9"/>
    <w:rsid w:val="00B438DD"/>
    <w:rsid w:val="00B447E6"/>
    <w:rsid w:val="00B4601F"/>
    <w:rsid w:val="00B46592"/>
    <w:rsid w:val="00B46699"/>
    <w:rsid w:val="00B53A2C"/>
    <w:rsid w:val="00B54FE2"/>
    <w:rsid w:val="00B63180"/>
    <w:rsid w:val="00B635F7"/>
    <w:rsid w:val="00B67624"/>
    <w:rsid w:val="00B72A52"/>
    <w:rsid w:val="00B74D0D"/>
    <w:rsid w:val="00B75A59"/>
    <w:rsid w:val="00B83738"/>
    <w:rsid w:val="00B92B7A"/>
    <w:rsid w:val="00B93FBD"/>
    <w:rsid w:val="00B95EB6"/>
    <w:rsid w:val="00B97129"/>
    <w:rsid w:val="00BA2D04"/>
    <w:rsid w:val="00BA5E1C"/>
    <w:rsid w:val="00BA5EDA"/>
    <w:rsid w:val="00BA684C"/>
    <w:rsid w:val="00BB1FE7"/>
    <w:rsid w:val="00BB457A"/>
    <w:rsid w:val="00BB4827"/>
    <w:rsid w:val="00BB6CD5"/>
    <w:rsid w:val="00BC78CF"/>
    <w:rsid w:val="00BD17DA"/>
    <w:rsid w:val="00BD48C4"/>
    <w:rsid w:val="00BD5370"/>
    <w:rsid w:val="00BD6541"/>
    <w:rsid w:val="00BD738F"/>
    <w:rsid w:val="00BD7B7D"/>
    <w:rsid w:val="00BE0BE9"/>
    <w:rsid w:val="00BE22B6"/>
    <w:rsid w:val="00BE445A"/>
    <w:rsid w:val="00BF14A3"/>
    <w:rsid w:val="00BF29CB"/>
    <w:rsid w:val="00BF33F7"/>
    <w:rsid w:val="00BF6DFF"/>
    <w:rsid w:val="00C00903"/>
    <w:rsid w:val="00C02CEF"/>
    <w:rsid w:val="00C05BB5"/>
    <w:rsid w:val="00C11F54"/>
    <w:rsid w:val="00C15F89"/>
    <w:rsid w:val="00C1648E"/>
    <w:rsid w:val="00C16FDB"/>
    <w:rsid w:val="00C22AF4"/>
    <w:rsid w:val="00C245B8"/>
    <w:rsid w:val="00C25734"/>
    <w:rsid w:val="00C26C5A"/>
    <w:rsid w:val="00C27EF7"/>
    <w:rsid w:val="00C31487"/>
    <w:rsid w:val="00C330D5"/>
    <w:rsid w:val="00C33EEF"/>
    <w:rsid w:val="00C34B6D"/>
    <w:rsid w:val="00C447AC"/>
    <w:rsid w:val="00C45331"/>
    <w:rsid w:val="00C4646B"/>
    <w:rsid w:val="00C466B5"/>
    <w:rsid w:val="00C51F4C"/>
    <w:rsid w:val="00C52632"/>
    <w:rsid w:val="00C53D68"/>
    <w:rsid w:val="00C5442C"/>
    <w:rsid w:val="00C607C0"/>
    <w:rsid w:val="00C62F11"/>
    <w:rsid w:val="00C656FA"/>
    <w:rsid w:val="00C7223F"/>
    <w:rsid w:val="00C72915"/>
    <w:rsid w:val="00C82113"/>
    <w:rsid w:val="00C82B49"/>
    <w:rsid w:val="00C85269"/>
    <w:rsid w:val="00C858BE"/>
    <w:rsid w:val="00C92F7E"/>
    <w:rsid w:val="00C95C5C"/>
    <w:rsid w:val="00C975EA"/>
    <w:rsid w:val="00CA267C"/>
    <w:rsid w:val="00CA2C1E"/>
    <w:rsid w:val="00CA2F8B"/>
    <w:rsid w:val="00CA505E"/>
    <w:rsid w:val="00CB162A"/>
    <w:rsid w:val="00CB3C92"/>
    <w:rsid w:val="00CB6889"/>
    <w:rsid w:val="00CC2DC0"/>
    <w:rsid w:val="00CC31C4"/>
    <w:rsid w:val="00CC5D40"/>
    <w:rsid w:val="00CC614A"/>
    <w:rsid w:val="00CD2D10"/>
    <w:rsid w:val="00CD3CA4"/>
    <w:rsid w:val="00CD79A8"/>
    <w:rsid w:val="00CE123B"/>
    <w:rsid w:val="00CE2D1E"/>
    <w:rsid w:val="00CE77A0"/>
    <w:rsid w:val="00CF1634"/>
    <w:rsid w:val="00CF481F"/>
    <w:rsid w:val="00CF4D2F"/>
    <w:rsid w:val="00CF620B"/>
    <w:rsid w:val="00D02A08"/>
    <w:rsid w:val="00D04CF3"/>
    <w:rsid w:val="00D104F6"/>
    <w:rsid w:val="00D10A73"/>
    <w:rsid w:val="00D16A9A"/>
    <w:rsid w:val="00D17D74"/>
    <w:rsid w:val="00D224C9"/>
    <w:rsid w:val="00D24B8A"/>
    <w:rsid w:val="00D30F6F"/>
    <w:rsid w:val="00D34C65"/>
    <w:rsid w:val="00D355CC"/>
    <w:rsid w:val="00D418AD"/>
    <w:rsid w:val="00D51E3A"/>
    <w:rsid w:val="00D523ED"/>
    <w:rsid w:val="00D535EE"/>
    <w:rsid w:val="00D54D42"/>
    <w:rsid w:val="00D5662B"/>
    <w:rsid w:val="00D61093"/>
    <w:rsid w:val="00D65253"/>
    <w:rsid w:val="00D67F2F"/>
    <w:rsid w:val="00D74CDA"/>
    <w:rsid w:val="00D7562B"/>
    <w:rsid w:val="00D76F6E"/>
    <w:rsid w:val="00D80228"/>
    <w:rsid w:val="00D8082F"/>
    <w:rsid w:val="00D83A9F"/>
    <w:rsid w:val="00D84224"/>
    <w:rsid w:val="00D90CB3"/>
    <w:rsid w:val="00D918B8"/>
    <w:rsid w:val="00D956D6"/>
    <w:rsid w:val="00DA1F42"/>
    <w:rsid w:val="00DA3F49"/>
    <w:rsid w:val="00DA5214"/>
    <w:rsid w:val="00DA6A8E"/>
    <w:rsid w:val="00DB3341"/>
    <w:rsid w:val="00DC21C1"/>
    <w:rsid w:val="00DC331A"/>
    <w:rsid w:val="00DC7720"/>
    <w:rsid w:val="00DD042C"/>
    <w:rsid w:val="00DD07BD"/>
    <w:rsid w:val="00DD60E2"/>
    <w:rsid w:val="00DD63EA"/>
    <w:rsid w:val="00DE36BD"/>
    <w:rsid w:val="00DE67F4"/>
    <w:rsid w:val="00DF01D0"/>
    <w:rsid w:val="00DF28E0"/>
    <w:rsid w:val="00DF5B75"/>
    <w:rsid w:val="00DF66F0"/>
    <w:rsid w:val="00E023CB"/>
    <w:rsid w:val="00E04A87"/>
    <w:rsid w:val="00E0635A"/>
    <w:rsid w:val="00E06F23"/>
    <w:rsid w:val="00E07600"/>
    <w:rsid w:val="00E10D9A"/>
    <w:rsid w:val="00E15A94"/>
    <w:rsid w:val="00E27BBF"/>
    <w:rsid w:val="00E33AB2"/>
    <w:rsid w:val="00E42658"/>
    <w:rsid w:val="00E478C8"/>
    <w:rsid w:val="00E500C5"/>
    <w:rsid w:val="00E51E85"/>
    <w:rsid w:val="00E52A20"/>
    <w:rsid w:val="00E55D1E"/>
    <w:rsid w:val="00E561D4"/>
    <w:rsid w:val="00E5668E"/>
    <w:rsid w:val="00E57029"/>
    <w:rsid w:val="00E609B5"/>
    <w:rsid w:val="00E61DE0"/>
    <w:rsid w:val="00E63122"/>
    <w:rsid w:val="00E63F06"/>
    <w:rsid w:val="00E64886"/>
    <w:rsid w:val="00E65438"/>
    <w:rsid w:val="00E6798F"/>
    <w:rsid w:val="00E67E0B"/>
    <w:rsid w:val="00E75DD6"/>
    <w:rsid w:val="00E808A2"/>
    <w:rsid w:val="00E809E7"/>
    <w:rsid w:val="00E83D8C"/>
    <w:rsid w:val="00E96102"/>
    <w:rsid w:val="00EA6227"/>
    <w:rsid w:val="00EA73E5"/>
    <w:rsid w:val="00EB3664"/>
    <w:rsid w:val="00EB3AF7"/>
    <w:rsid w:val="00ED2240"/>
    <w:rsid w:val="00EE2B0A"/>
    <w:rsid w:val="00EE2C91"/>
    <w:rsid w:val="00EE3198"/>
    <w:rsid w:val="00EE31DA"/>
    <w:rsid w:val="00EE3B28"/>
    <w:rsid w:val="00EE486A"/>
    <w:rsid w:val="00EE7BF7"/>
    <w:rsid w:val="00EF2CFE"/>
    <w:rsid w:val="00EF5733"/>
    <w:rsid w:val="00EF57C9"/>
    <w:rsid w:val="00F0297E"/>
    <w:rsid w:val="00F077A3"/>
    <w:rsid w:val="00F10471"/>
    <w:rsid w:val="00F112F6"/>
    <w:rsid w:val="00F150FE"/>
    <w:rsid w:val="00F158EE"/>
    <w:rsid w:val="00F32774"/>
    <w:rsid w:val="00F408A1"/>
    <w:rsid w:val="00F42045"/>
    <w:rsid w:val="00F42247"/>
    <w:rsid w:val="00F448E2"/>
    <w:rsid w:val="00F4507C"/>
    <w:rsid w:val="00F52357"/>
    <w:rsid w:val="00F5322B"/>
    <w:rsid w:val="00F536B8"/>
    <w:rsid w:val="00F56AEB"/>
    <w:rsid w:val="00F610C2"/>
    <w:rsid w:val="00F6131B"/>
    <w:rsid w:val="00F61D17"/>
    <w:rsid w:val="00F67B2B"/>
    <w:rsid w:val="00F734B8"/>
    <w:rsid w:val="00F73A1B"/>
    <w:rsid w:val="00F7451E"/>
    <w:rsid w:val="00F7729A"/>
    <w:rsid w:val="00F77D76"/>
    <w:rsid w:val="00F80B45"/>
    <w:rsid w:val="00F862F2"/>
    <w:rsid w:val="00F9005F"/>
    <w:rsid w:val="00F910F0"/>
    <w:rsid w:val="00F94BD2"/>
    <w:rsid w:val="00F954B8"/>
    <w:rsid w:val="00FA241B"/>
    <w:rsid w:val="00FA440F"/>
    <w:rsid w:val="00FB04E0"/>
    <w:rsid w:val="00FB1CA8"/>
    <w:rsid w:val="00FB6148"/>
    <w:rsid w:val="00FB6A14"/>
    <w:rsid w:val="00FB795E"/>
    <w:rsid w:val="00FC144A"/>
    <w:rsid w:val="00FC36AD"/>
    <w:rsid w:val="00FC5406"/>
    <w:rsid w:val="00FD075D"/>
    <w:rsid w:val="00FD491E"/>
    <w:rsid w:val="00FE6719"/>
    <w:rsid w:val="00FF2385"/>
    <w:rsid w:val="00FF69EA"/>
    <w:rsid w:val="00FF6D0C"/>
    <w:rsid w:val="00FF7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EC6354"/>
  <w15:chartTrackingRefBased/>
  <w15:docId w15:val="{1276B771-834B-4A4F-948C-F54680CA2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1F4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3F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A3FA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A3F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A3FAE"/>
    <w:rPr>
      <w:sz w:val="18"/>
      <w:szCs w:val="18"/>
    </w:rPr>
  </w:style>
  <w:style w:type="character" w:styleId="a7">
    <w:name w:val="page number"/>
    <w:semiHidden/>
    <w:rsid w:val="00AA3FAE"/>
  </w:style>
  <w:style w:type="paragraph" w:styleId="a8">
    <w:name w:val="Balloon Text"/>
    <w:basedOn w:val="a"/>
    <w:link w:val="a9"/>
    <w:uiPriority w:val="99"/>
    <w:semiHidden/>
    <w:unhideWhenUsed/>
    <w:rsid w:val="00F52357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F52357"/>
    <w:rPr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0566E1"/>
    <w:rPr>
      <w:sz w:val="21"/>
      <w:szCs w:val="21"/>
    </w:rPr>
  </w:style>
  <w:style w:type="table" w:styleId="ab">
    <w:name w:val="Table Grid"/>
    <w:basedOn w:val="a1"/>
    <w:uiPriority w:val="39"/>
    <w:rsid w:val="00C53D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1F0325"/>
    <w:pPr>
      <w:ind w:firstLineChars="200" w:firstLine="420"/>
    </w:pPr>
  </w:style>
  <w:style w:type="paragraph" w:styleId="ad">
    <w:name w:val="annotation text"/>
    <w:basedOn w:val="a"/>
    <w:link w:val="ae"/>
    <w:uiPriority w:val="99"/>
    <w:semiHidden/>
    <w:unhideWhenUsed/>
    <w:rsid w:val="0032255E"/>
    <w:pPr>
      <w:jc w:val="left"/>
    </w:pPr>
  </w:style>
  <w:style w:type="character" w:customStyle="1" w:styleId="ae">
    <w:name w:val="批注文字 字符"/>
    <w:basedOn w:val="a0"/>
    <w:link w:val="ad"/>
    <w:uiPriority w:val="99"/>
    <w:semiHidden/>
    <w:rsid w:val="0032255E"/>
  </w:style>
  <w:style w:type="paragraph" w:styleId="af">
    <w:name w:val="annotation subject"/>
    <w:basedOn w:val="ad"/>
    <w:next w:val="ad"/>
    <w:link w:val="af0"/>
    <w:uiPriority w:val="99"/>
    <w:semiHidden/>
    <w:unhideWhenUsed/>
    <w:rsid w:val="0032255E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32255E"/>
    <w:rPr>
      <w:b/>
      <w:bCs/>
    </w:rPr>
  </w:style>
  <w:style w:type="paragraph" w:customStyle="1" w:styleId="Agreement">
    <w:name w:val="Agreement"/>
    <w:basedOn w:val="a"/>
    <w:next w:val="a"/>
    <w:qFormat/>
    <w:rsid w:val="00277010"/>
    <w:pPr>
      <w:widowControl/>
      <w:numPr>
        <w:numId w:val="4"/>
      </w:numPr>
      <w:spacing w:before="60"/>
      <w:jc w:val="left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character" w:styleId="af1">
    <w:name w:val="Hyperlink"/>
    <w:uiPriority w:val="99"/>
    <w:unhideWhenUsed/>
    <w:qFormat/>
    <w:rsid w:val="00286C7E"/>
    <w:rPr>
      <w:color w:val="0000FF"/>
      <w:u w:val="single"/>
    </w:rPr>
  </w:style>
  <w:style w:type="paragraph" w:customStyle="1" w:styleId="Doc-title">
    <w:name w:val="Doc-title"/>
    <w:basedOn w:val="a"/>
    <w:next w:val="a"/>
    <w:link w:val="Doc-titleChar"/>
    <w:qFormat/>
    <w:rsid w:val="00286C7E"/>
    <w:pPr>
      <w:widowControl/>
      <w:spacing w:before="60"/>
      <w:ind w:left="1259" w:hanging="1259"/>
      <w:jc w:val="left"/>
    </w:pPr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86C7E"/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560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086033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36589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0268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9015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3879</TotalTime>
  <Pages>3</Pages>
  <Words>1455</Words>
  <Characters>8297</Characters>
  <Application>Microsoft Office Word</Application>
  <DocSecurity>0</DocSecurity>
  <Lines>69</Lines>
  <Paragraphs>19</Paragraphs>
  <ScaleCrop>false</ScaleCrop>
  <Company/>
  <LinksUpToDate>false</LinksUpToDate>
  <CharactersWithSpaces>9733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Yibin YB1 Zhuo</dc:creator>
  <cp:keywords/>
  <dc:description/>
  <cp:lastModifiedBy>Lenovo</cp:lastModifiedBy>
  <cp:revision>657</cp:revision>
  <dcterms:created xsi:type="dcterms:W3CDTF">2021-01-15T00:45:00Z</dcterms:created>
  <dcterms:modified xsi:type="dcterms:W3CDTF">2022-09-28T01:18:00Z</dcterms:modified>
</cp:coreProperties>
</file>